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3C60F">
      <w:pPr>
        <w:pStyle w:val="30"/>
        <w:rPr>
          <w:color w:val="000000" w:themeColor="text1"/>
          <w:lang w:eastAsia="zh-CN"/>
          <w14:textFill>
            <w14:solidFill>
              <w14:schemeClr w14:val="tx1"/>
            </w14:solidFill>
          </w14:textFill>
        </w:rPr>
      </w:pPr>
      <w:bookmarkStart w:id="0" w:name="_Toc521500770"/>
      <w:bookmarkStart w:id="9" w:name="_GoBack"/>
      <w:bookmarkEnd w:id="9"/>
      <w:r>
        <w:rPr>
          <w:rFonts w:hint="eastAsia"/>
          <w:color w:val="000000" w:themeColor="text1"/>
          <w:lang w:eastAsia="zh-CN"/>
          <w14:textFill>
            <w14:solidFill>
              <w14:schemeClr w14:val="tx1"/>
            </w14:solidFill>
          </w14:textFill>
        </w:rPr>
        <w:t>中大惠亚医院</w:t>
      </w:r>
      <w:bookmarkStart w:id="1" w:name="OLE_LINK1"/>
      <w:bookmarkStart w:id="2" w:name="OLE_LINK2"/>
      <w:r>
        <w:rPr>
          <w:rFonts w:hint="eastAsia"/>
          <w:color w:val="000000" w:themeColor="text1"/>
          <w:lang w:eastAsia="zh-CN"/>
          <w14:textFill>
            <w14:solidFill>
              <w14:schemeClr w14:val="tx1"/>
            </w14:solidFill>
          </w14:textFill>
        </w:rPr>
        <w:t>信息化项目</w:t>
      </w:r>
      <w:bookmarkEnd w:id="1"/>
      <w:bookmarkEnd w:id="2"/>
      <w:r>
        <w:rPr>
          <w:rFonts w:hint="eastAsia"/>
          <w:color w:val="000000" w:themeColor="text1"/>
          <w:lang w:eastAsia="zh-CN"/>
          <w14:textFill>
            <w14:solidFill>
              <w14:schemeClr w14:val="tx1"/>
            </w14:solidFill>
          </w14:textFill>
        </w:rPr>
        <w:t>技术要求</w:t>
      </w:r>
    </w:p>
    <w:p w14:paraId="759FD159">
      <w:pPr>
        <w:rPr>
          <w:rFonts w:ascii="宋体" w:hAnsi="宋体" w:eastAsia="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一、采购内容</w:t>
      </w:r>
    </w:p>
    <w:p w14:paraId="185EFB72">
      <w:pPr>
        <w:rPr>
          <w:rFonts w:ascii="宋体" w:hAnsi="宋体" w:eastAsia="宋体"/>
          <w:color w:val="000000" w:themeColor="text1"/>
          <w14:textFill>
            <w14:solidFill>
              <w14:schemeClr w14:val="tx1"/>
            </w14:solidFill>
          </w14:textFill>
        </w:rPr>
      </w:pPr>
    </w:p>
    <w:tbl>
      <w:tblPr>
        <w:tblStyle w:val="32"/>
        <w:tblW w:w="7522" w:type="dxa"/>
        <w:jc w:val="center"/>
        <w:tblLayout w:type="fixed"/>
        <w:tblCellMar>
          <w:top w:w="0" w:type="dxa"/>
          <w:left w:w="108" w:type="dxa"/>
          <w:bottom w:w="0" w:type="dxa"/>
          <w:right w:w="108" w:type="dxa"/>
        </w:tblCellMar>
      </w:tblPr>
      <w:tblGrid>
        <w:gridCol w:w="1066"/>
        <w:gridCol w:w="4716"/>
        <w:gridCol w:w="1740"/>
      </w:tblGrid>
      <w:tr w14:paraId="14D67662">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14:paraId="5A80F9C7">
            <w:pPr>
              <w:jc w:val="center"/>
              <w:rPr>
                <w:rFonts w:ascii="宋体" w:hAnsi="宋体" w:eastAsia="宋体"/>
                <w:color w:val="000000" w:themeColor="text1"/>
                <w14:textFill>
                  <w14:solidFill>
                    <w14:schemeClr w14:val="tx1"/>
                  </w14:solidFill>
                </w14:textFill>
              </w:rPr>
            </w:pPr>
            <w:bookmarkStart w:id="3" w:name="_Hlk53992108"/>
            <w:r>
              <w:rPr>
                <w:rFonts w:hint="eastAsia" w:ascii="宋体" w:hAnsi="宋体" w:eastAsia="宋体"/>
                <w:b/>
                <w:color w:val="000000" w:themeColor="text1"/>
                <w14:textFill>
                  <w14:solidFill>
                    <w14:schemeClr w14:val="tx1"/>
                  </w14:solidFill>
                </w14:textFill>
              </w:rPr>
              <w:t>序号</w:t>
            </w:r>
          </w:p>
        </w:tc>
        <w:tc>
          <w:tcPr>
            <w:tcW w:w="4716" w:type="dxa"/>
            <w:tcBorders>
              <w:top w:val="single" w:color="000000" w:sz="4" w:space="0"/>
              <w:left w:val="single" w:color="000000" w:sz="4" w:space="0"/>
              <w:bottom w:val="single" w:color="auto" w:sz="4" w:space="0"/>
            </w:tcBorders>
            <w:shd w:val="clear" w:color="auto" w:fill="auto"/>
            <w:vAlign w:val="center"/>
          </w:tcPr>
          <w:p w14:paraId="4B0E7AA7">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09C5B1">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数量</w:t>
            </w:r>
          </w:p>
        </w:tc>
      </w:tr>
      <w:tr w14:paraId="01567145">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1B3F600">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D248B85">
            <w:pPr>
              <w:jc w:val="center"/>
              <w:rPr>
                <w:rFonts w:ascii="宋体" w:hAnsi="宋体" w:eastAsia="宋体"/>
                <w:kern w:val="2"/>
                <w:szCs w:val="21"/>
                <w:lang w:eastAsia="zh-CN"/>
              </w:rPr>
            </w:pPr>
            <w:r>
              <w:rPr>
                <w:rFonts w:hint="eastAsia" w:ascii="宋体" w:hAnsi="宋体" w:eastAsia="宋体" w:cs="Times New Roman"/>
                <w:kern w:val="2"/>
                <w:sz w:val="24"/>
                <w:szCs w:val="21"/>
                <w:lang w:val="en-US" w:eastAsia="zh-CN" w:bidi="ar-SA"/>
              </w:rPr>
              <w:t>药品追溯码采集器</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10E19E0">
            <w:pPr>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1项</w:t>
            </w:r>
          </w:p>
        </w:tc>
      </w:tr>
      <w:bookmarkEnd w:id="3"/>
    </w:tbl>
    <w:p w14:paraId="6452B581">
      <w:pPr>
        <w:rPr>
          <w:rFonts w:ascii="宋体" w:hAnsi="宋体" w:eastAsia="宋体" w:cs="宋体"/>
          <w:color w:val="000000" w:themeColor="text1"/>
          <w:lang w:eastAsia="zh-CN"/>
          <w14:textFill>
            <w14:solidFill>
              <w14:schemeClr w14:val="tx1"/>
            </w14:solidFill>
          </w14:textFill>
        </w:rPr>
      </w:pPr>
    </w:p>
    <w:p w14:paraId="2F882F38">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二、项目背景</w:t>
      </w:r>
    </w:p>
    <w:bookmarkEnd w:id="0"/>
    <w:p w14:paraId="74253888">
      <w:pPr>
        <w:pStyle w:val="80"/>
        <w:rPr>
          <w:rFonts w:ascii="宋体" w:hAnsi="宋体" w:cs="宋体"/>
          <w:b/>
          <w:color w:val="000000" w:themeColor="text1"/>
          <w14:textFill>
            <w14:solidFill>
              <w14:schemeClr w14:val="tx1"/>
            </w14:solidFill>
          </w14:textFill>
        </w:rPr>
      </w:pPr>
      <w:bookmarkStart w:id="4" w:name="_Hlk164950340"/>
      <w:r>
        <w:rPr>
          <w:rFonts w:hint="eastAsia" w:ascii="宋体" w:hAnsi="宋体"/>
          <w:szCs w:val="21"/>
        </w:rPr>
        <w:t>本项目</w:t>
      </w:r>
      <w:r>
        <w:rPr>
          <w:rFonts w:hint="eastAsia" w:ascii="宋体" w:hAnsi="宋体"/>
          <w:szCs w:val="21"/>
          <w:lang w:eastAsia="zh-CN"/>
        </w:rPr>
        <w:t>为药剂科所提需求</w:t>
      </w:r>
      <w:r>
        <w:rPr>
          <w:rFonts w:hint="eastAsia" w:ascii="宋体" w:hAnsi="宋体"/>
          <w:szCs w:val="21"/>
        </w:rPr>
        <w:t>，主要用于</w:t>
      </w:r>
      <w:r>
        <w:rPr>
          <w:rFonts w:hint="eastAsia" w:ascii="宋体" w:hAnsi="宋体"/>
          <w:szCs w:val="21"/>
          <w:lang w:eastAsia="zh-CN"/>
        </w:rPr>
        <w:t>购置医院药品追溯码采集设备</w:t>
      </w:r>
      <w:r>
        <w:rPr>
          <w:rFonts w:hint="eastAsia" w:ascii="宋体" w:hAnsi="宋体" w:eastAsia="宋体" w:cs="Times New Roman"/>
          <w:szCs w:val="21"/>
          <w:lang w:eastAsia="zh-CN"/>
        </w:rPr>
        <w:t>。</w:t>
      </w:r>
      <w:bookmarkEnd w:id="4"/>
      <w:r>
        <w:rPr>
          <w:rFonts w:hint="eastAsia" w:ascii="宋体" w:hAnsi="宋体" w:eastAsia="宋体" w:cs="Times New Roman"/>
          <w:szCs w:val="21"/>
          <w:lang w:val="en-US" w:eastAsia="zh-CN"/>
        </w:rPr>
        <w:t>根据药剂科提供《广东省医疗保障局办公室转发国家医疗保障局办公室关于深入开展医保药品耗材追溯码信息采集工作的通知》文件内容，需落实发药窗口配备扫描设备，三级医院7月1日前需完成定点医疗机构需要医保药品追溯码信息采集上传工作。现按使用科室所提需求，申请购置</w:t>
      </w:r>
      <w:r>
        <w:rPr>
          <w:rFonts w:hint="eastAsia" w:ascii="宋体" w:hAnsi="宋体" w:cs="Times New Roman"/>
          <w:szCs w:val="21"/>
          <w:lang w:val="en-US" w:eastAsia="zh-CN"/>
        </w:rPr>
        <w:t>7</w:t>
      </w:r>
      <w:r>
        <w:rPr>
          <w:rFonts w:hint="eastAsia" w:ascii="宋体" w:hAnsi="宋体" w:eastAsia="宋体" w:cs="Times New Roman"/>
          <w:szCs w:val="21"/>
          <w:lang w:val="en-US" w:eastAsia="zh-CN"/>
        </w:rPr>
        <w:t>台药品追溯码采集设备覆盖医院各药房窗口使用。</w:t>
      </w:r>
      <w:r>
        <w:rPr>
          <w:rFonts w:hint="eastAsia" w:ascii="宋体" w:hAnsi="宋体" w:cs="宋体"/>
          <w:b/>
          <w:color w:val="000000" w:themeColor="text1"/>
          <w14:textFill>
            <w14:solidFill>
              <w14:schemeClr w14:val="tx1"/>
            </w14:solidFill>
          </w14:textFill>
        </w:rPr>
        <w:t>三、技术要求</w:t>
      </w:r>
    </w:p>
    <w:p w14:paraId="6FC75102">
      <w:pPr>
        <w:spacing w:line="360" w:lineRule="auto"/>
        <w:rPr>
          <w:rFonts w:ascii="宋体" w:hAnsi="宋体" w:eastAsia="宋体" w:cs="宋体"/>
          <w:b/>
          <w:color w:val="000000" w:themeColor="text1"/>
          <w:lang w:eastAsia="zh-CN"/>
          <w14:textFill>
            <w14:solidFill>
              <w14:schemeClr w14:val="tx1"/>
            </w14:solidFill>
          </w14:textFill>
        </w:rPr>
      </w:pPr>
      <w:bookmarkStart w:id="5" w:name="_Toc521500771"/>
      <w:r>
        <w:rPr>
          <w:rFonts w:ascii="宋体" w:hAnsi="宋体" w:eastAsia="宋体" w:cs="宋体"/>
          <w:b/>
          <w:color w:val="000000" w:themeColor="text1"/>
          <w:lang w:eastAsia="zh-CN"/>
          <w14:textFill>
            <w14:solidFill>
              <w14:schemeClr w14:val="tx1"/>
            </w14:solidFill>
          </w14:textFill>
        </w:rPr>
        <w:t>1</w:t>
      </w:r>
      <w:r>
        <w:rPr>
          <w:rFonts w:hint="eastAsia" w:ascii="宋体" w:hAnsi="宋体" w:eastAsia="宋体" w:cs="宋体"/>
          <w:b/>
          <w:color w:val="000000" w:themeColor="text1"/>
          <w:lang w:eastAsia="zh-CN"/>
          <w14:textFill>
            <w14:solidFill>
              <w14:schemeClr w14:val="tx1"/>
            </w14:solidFill>
          </w14:textFill>
        </w:rPr>
        <w:t>.</w:t>
      </w:r>
      <w:bookmarkEnd w:id="5"/>
      <w:r>
        <w:rPr>
          <w:rFonts w:hint="eastAsia" w:ascii="宋体" w:hAnsi="宋体" w:eastAsia="宋体" w:cs="宋体"/>
          <w:b/>
          <w:color w:val="000000" w:themeColor="text1"/>
          <w:lang w:eastAsia="zh-CN"/>
          <w14:textFill>
            <w14:solidFill>
              <w14:schemeClr w14:val="tx1"/>
            </w14:solidFill>
          </w14:textFill>
        </w:rPr>
        <w:t>兼容要求：</w:t>
      </w:r>
      <w:bookmarkStart w:id="6" w:name="_Toc521500774"/>
      <w:r>
        <w:rPr>
          <w:rFonts w:hint="eastAsia" w:ascii="宋体" w:hAnsi="宋体" w:eastAsia="宋体"/>
          <w:kern w:val="2"/>
          <w:lang w:eastAsia="zh-CN" w:bidi="ar-SA"/>
        </w:rPr>
        <w:t>本项目所提供药品追溯码采集器应满足医院药品追溯码上传工作要求，与医院药品追溯码上传系统无缝兼容。</w:t>
      </w:r>
      <w:r>
        <w:rPr>
          <w:rFonts w:hint="eastAsia" w:ascii="宋体" w:hAnsi="宋体" w:eastAsia="宋体" w:cs="宋体"/>
          <w:b/>
          <w:color w:val="000000" w:themeColor="text1"/>
          <w:lang w:eastAsia="zh-CN"/>
          <w14:textFill>
            <w14:solidFill>
              <w14:schemeClr w14:val="tx1"/>
            </w14:solidFill>
          </w14:textFill>
        </w:rPr>
        <w:t xml:space="preserve"> </w:t>
      </w:r>
    </w:p>
    <w:p w14:paraId="13CDC45F">
      <w:pPr>
        <w:widowControl w:val="0"/>
        <w:spacing w:line="360" w:lineRule="exact"/>
        <w:jc w:val="both"/>
        <w:rPr>
          <w:lang w:eastAsia="zh-CN"/>
        </w:rPr>
      </w:pPr>
      <w:r>
        <w:rPr>
          <w:rFonts w:ascii="宋体" w:hAnsi="宋体" w:eastAsia="宋体" w:cs="宋体"/>
          <w:b/>
          <w:color w:val="000000" w:themeColor="text1"/>
          <w:lang w:eastAsia="zh-CN"/>
          <w14:textFill>
            <w14:solidFill>
              <w14:schemeClr w14:val="tx1"/>
            </w14:solidFill>
          </w14:textFill>
        </w:rPr>
        <w:t>2</w:t>
      </w:r>
      <w:r>
        <w:rPr>
          <w:rFonts w:hint="eastAsia" w:ascii="宋体" w:hAnsi="宋体" w:eastAsia="宋体" w:cs="宋体"/>
          <w:b/>
          <w:color w:val="000000" w:themeColor="text1"/>
          <w:lang w:eastAsia="zh-CN"/>
          <w14:textFill>
            <w14:solidFill>
              <w14:schemeClr w14:val="tx1"/>
            </w14:solidFill>
          </w14:textFill>
        </w:rPr>
        <w:t>.</w:t>
      </w:r>
      <w:bookmarkEnd w:id="6"/>
      <w:r>
        <w:rPr>
          <w:rFonts w:hint="eastAsia" w:ascii="宋体" w:hAnsi="宋体" w:eastAsia="宋体" w:cs="宋体"/>
          <w:b/>
          <w:color w:val="000000" w:themeColor="text1"/>
          <w:lang w:eastAsia="zh-CN"/>
          <w14:textFill>
            <w14:solidFill>
              <w14:schemeClr w14:val="tx1"/>
            </w14:solidFill>
          </w14:textFill>
        </w:rPr>
        <w:t>需求参数</w:t>
      </w:r>
    </w:p>
    <w:tbl>
      <w:tblPr>
        <w:tblStyle w:val="3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4"/>
        <w:gridCol w:w="1782"/>
        <w:gridCol w:w="4567"/>
        <w:gridCol w:w="977"/>
      </w:tblGrid>
      <w:tr w14:paraId="6CC8A0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1354" w:type="dxa"/>
            <w:vAlign w:val="center"/>
          </w:tcPr>
          <w:p w14:paraId="784826D4">
            <w:pPr>
              <w:jc w:val="center"/>
              <w:rPr>
                <w:rFonts w:ascii="宋体" w:hAnsi="宋体" w:eastAsia="宋体"/>
                <w:b/>
                <w:bCs/>
                <w:kern w:val="2"/>
                <w:lang w:eastAsia="zh-CN" w:bidi="ar-SA"/>
              </w:rPr>
            </w:pPr>
            <w:r>
              <w:rPr>
                <w:rFonts w:hint="eastAsia" w:ascii="宋体" w:hAnsi="宋体" w:eastAsia="宋体"/>
                <w:b/>
                <w:bCs/>
                <w:kern w:val="2"/>
                <w:lang w:eastAsia="zh-CN" w:bidi="ar-SA"/>
              </w:rPr>
              <w:t>建设内容</w:t>
            </w:r>
          </w:p>
        </w:tc>
        <w:tc>
          <w:tcPr>
            <w:tcW w:w="1782" w:type="dxa"/>
            <w:vAlign w:val="center"/>
          </w:tcPr>
          <w:p w14:paraId="2E547612">
            <w:pPr>
              <w:jc w:val="center"/>
              <w:rPr>
                <w:rFonts w:ascii="宋体" w:hAnsi="宋体" w:eastAsia="宋体"/>
                <w:b/>
                <w:bCs/>
                <w:kern w:val="2"/>
                <w:lang w:eastAsia="zh-CN" w:bidi="ar-SA"/>
              </w:rPr>
            </w:pPr>
            <w:r>
              <w:rPr>
                <w:rFonts w:hint="eastAsia" w:ascii="宋体" w:hAnsi="宋体" w:eastAsia="宋体"/>
                <w:b/>
                <w:bCs/>
                <w:kern w:val="2"/>
                <w:lang w:eastAsia="zh-CN" w:bidi="ar-SA"/>
              </w:rPr>
              <w:t>功能点</w:t>
            </w:r>
          </w:p>
        </w:tc>
        <w:tc>
          <w:tcPr>
            <w:tcW w:w="4567" w:type="dxa"/>
            <w:vAlign w:val="center"/>
          </w:tcPr>
          <w:p w14:paraId="07707C67">
            <w:pPr>
              <w:jc w:val="center"/>
              <w:rPr>
                <w:rFonts w:ascii="宋体" w:hAnsi="宋体" w:eastAsia="宋体"/>
                <w:b/>
                <w:bCs/>
                <w:kern w:val="2"/>
                <w:lang w:eastAsia="zh-CN" w:bidi="ar-SA"/>
              </w:rPr>
            </w:pPr>
            <w:r>
              <w:rPr>
                <w:rFonts w:hint="eastAsia" w:ascii="宋体" w:hAnsi="宋体" w:eastAsia="宋体"/>
                <w:b/>
                <w:bCs/>
                <w:kern w:val="2"/>
                <w:lang w:eastAsia="zh-CN" w:bidi="ar-SA"/>
              </w:rPr>
              <w:t>功能需求</w:t>
            </w:r>
          </w:p>
        </w:tc>
        <w:tc>
          <w:tcPr>
            <w:tcW w:w="977" w:type="dxa"/>
            <w:vAlign w:val="center"/>
          </w:tcPr>
          <w:p w14:paraId="15B6DFD0">
            <w:pPr>
              <w:jc w:val="center"/>
              <w:rPr>
                <w:rFonts w:ascii="宋体" w:hAnsi="宋体" w:eastAsia="宋体"/>
                <w:b/>
                <w:bCs/>
                <w:kern w:val="2"/>
                <w:lang w:eastAsia="zh-CN" w:bidi="ar-SA"/>
              </w:rPr>
            </w:pPr>
            <w:r>
              <w:rPr>
                <w:rFonts w:hint="eastAsia" w:ascii="宋体" w:hAnsi="宋体" w:eastAsia="宋体"/>
                <w:b/>
                <w:bCs/>
                <w:kern w:val="2"/>
                <w:lang w:eastAsia="zh-CN" w:bidi="ar-SA"/>
              </w:rPr>
              <w:t>数量</w:t>
            </w:r>
          </w:p>
        </w:tc>
      </w:tr>
      <w:tr w14:paraId="36992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restart"/>
            <w:vAlign w:val="center"/>
          </w:tcPr>
          <w:p w14:paraId="467B690D">
            <w:pPr>
              <w:spacing w:line="360" w:lineRule="auto"/>
              <w:rPr>
                <w:rFonts w:hint="eastAsia" w:ascii="宋体" w:hAnsi="宋体" w:eastAsia="宋体"/>
                <w:kern w:val="2"/>
                <w:lang w:eastAsia="zh-CN" w:bidi="ar-SA"/>
              </w:rPr>
            </w:pPr>
            <w:r>
              <w:rPr>
                <w:rFonts w:hint="eastAsia" w:ascii="宋体" w:hAnsi="宋体" w:eastAsia="宋体"/>
                <w:kern w:val="2"/>
                <w:lang w:eastAsia="zh-CN" w:bidi="ar-SA"/>
              </w:rPr>
              <w:t>药品追溯码采集设备</w:t>
            </w:r>
          </w:p>
        </w:tc>
        <w:tc>
          <w:tcPr>
            <w:tcW w:w="1782" w:type="dxa"/>
            <w:vAlign w:val="center"/>
          </w:tcPr>
          <w:p w14:paraId="4CB9BAEB">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对焦方式</w:t>
            </w:r>
          </w:p>
        </w:tc>
        <w:tc>
          <w:tcPr>
            <w:tcW w:w="4567" w:type="dxa"/>
            <w:vAlign w:val="center"/>
          </w:tcPr>
          <w:p w14:paraId="158EFCF0">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支持自动对焦</w:t>
            </w:r>
          </w:p>
        </w:tc>
        <w:tc>
          <w:tcPr>
            <w:tcW w:w="977" w:type="dxa"/>
            <w:vMerge w:val="restart"/>
            <w:vAlign w:val="center"/>
          </w:tcPr>
          <w:p w14:paraId="63D6E044">
            <w:pPr>
              <w:spacing w:line="360" w:lineRule="auto"/>
              <w:jc w:val="center"/>
              <w:rPr>
                <w:rFonts w:hint="default" w:ascii="宋体" w:hAnsi="宋体" w:eastAsia="宋体"/>
                <w:kern w:val="2"/>
                <w:lang w:val="en-US" w:eastAsia="zh-CN" w:bidi="ar-SA"/>
              </w:rPr>
            </w:pPr>
            <w:r>
              <w:rPr>
                <w:rFonts w:hint="eastAsia" w:ascii="宋体" w:hAnsi="宋体" w:eastAsia="宋体"/>
                <w:kern w:val="2"/>
                <w:lang w:val="en-US" w:eastAsia="zh-CN" w:bidi="ar-SA"/>
              </w:rPr>
              <w:t>7台</w:t>
            </w:r>
          </w:p>
        </w:tc>
      </w:tr>
      <w:tr w14:paraId="37AA9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31DFAF0D">
            <w:pPr>
              <w:spacing w:line="360" w:lineRule="auto"/>
              <w:rPr>
                <w:rFonts w:hint="eastAsia" w:ascii="宋体" w:hAnsi="宋体" w:eastAsia="宋体"/>
                <w:kern w:val="2"/>
                <w:lang w:eastAsia="zh-CN" w:bidi="ar-SA"/>
              </w:rPr>
            </w:pPr>
          </w:p>
        </w:tc>
        <w:tc>
          <w:tcPr>
            <w:tcW w:w="1782" w:type="dxa"/>
            <w:vAlign w:val="center"/>
          </w:tcPr>
          <w:p w14:paraId="0693146F">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传感器类型</w:t>
            </w:r>
          </w:p>
        </w:tc>
        <w:tc>
          <w:tcPr>
            <w:tcW w:w="4567" w:type="dxa"/>
            <w:vAlign w:val="center"/>
          </w:tcPr>
          <w:p w14:paraId="3A64168B">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支持CMOS, Global Shutter</w:t>
            </w:r>
          </w:p>
        </w:tc>
        <w:tc>
          <w:tcPr>
            <w:tcW w:w="977" w:type="dxa"/>
            <w:vMerge w:val="continue"/>
            <w:vAlign w:val="center"/>
          </w:tcPr>
          <w:p w14:paraId="1E05FE34">
            <w:pPr>
              <w:spacing w:line="360" w:lineRule="auto"/>
              <w:jc w:val="center"/>
              <w:rPr>
                <w:rFonts w:hint="eastAsia" w:ascii="宋体" w:hAnsi="宋体" w:eastAsia="宋体"/>
                <w:kern w:val="2"/>
                <w:lang w:eastAsia="zh-CN" w:bidi="ar-SA"/>
              </w:rPr>
            </w:pPr>
          </w:p>
        </w:tc>
      </w:tr>
      <w:tr w14:paraId="1ACD6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3E4CA37C">
            <w:pPr>
              <w:spacing w:line="360" w:lineRule="auto"/>
              <w:rPr>
                <w:rFonts w:hint="eastAsia" w:ascii="宋体" w:hAnsi="宋体" w:eastAsia="宋体"/>
                <w:kern w:val="2"/>
                <w:lang w:eastAsia="zh-CN" w:bidi="ar-SA"/>
              </w:rPr>
            </w:pPr>
          </w:p>
        </w:tc>
        <w:tc>
          <w:tcPr>
            <w:tcW w:w="1782" w:type="dxa"/>
            <w:vAlign w:val="center"/>
          </w:tcPr>
          <w:p w14:paraId="36A85FFC">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分辨率</w:t>
            </w:r>
          </w:p>
        </w:tc>
        <w:tc>
          <w:tcPr>
            <w:tcW w:w="4567" w:type="dxa"/>
            <w:vAlign w:val="center"/>
          </w:tcPr>
          <w:p w14:paraId="1A5C902F">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≥1920x1200</w:t>
            </w:r>
          </w:p>
        </w:tc>
        <w:tc>
          <w:tcPr>
            <w:tcW w:w="977" w:type="dxa"/>
            <w:vMerge w:val="continue"/>
            <w:vAlign w:val="center"/>
          </w:tcPr>
          <w:p w14:paraId="1DAA635C">
            <w:pPr>
              <w:spacing w:line="360" w:lineRule="auto"/>
              <w:jc w:val="center"/>
              <w:rPr>
                <w:rFonts w:hint="eastAsia" w:ascii="宋体" w:hAnsi="宋体" w:eastAsia="宋体"/>
                <w:kern w:val="2"/>
                <w:lang w:eastAsia="zh-CN" w:bidi="ar-SA"/>
              </w:rPr>
            </w:pPr>
          </w:p>
        </w:tc>
      </w:tr>
      <w:tr w14:paraId="4A463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05E70140">
            <w:pPr>
              <w:spacing w:line="360" w:lineRule="auto"/>
              <w:rPr>
                <w:rFonts w:hint="eastAsia" w:ascii="宋体" w:hAnsi="宋体" w:eastAsia="宋体"/>
                <w:kern w:val="2"/>
                <w:lang w:eastAsia="zh-CN" w:bidi="ar-SA"/>
              </w:rPr>
            </w:pPr>
          </w:p>
        </w:tc>
        <w:tc>
          <w:tcPr>
            <w:tcW w:w="1782" w:type="dxa"/>
            <w:vAlign w:val="center"/>
          </w:tcPr>
          <w:p w14:paraId="781D49E4">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帧率</w:t>
            </w:r>
          </w:p>
        </w:tc>
        <w:tc>
          <w:tcPr>
            <w:tcW w:w="4567" w:type="dxa"/>
            <w:vAlign w:val="center"/>
          </w:tcPr>
          <w:p w14:paraId="514F2FCF">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≥108fps</w:t>
            </w:r>
          </w:p>
        </w:tc>
        <w:tc>
          <w:tcPr>
            <w:tcW w:w="977" w:type="dxa"/>
            <w:vMerge w:val="continue"/>
            <w:vAlign w:val="center"/>
          </w:tcPr>
          <w:p w14:paraId="452A64E3">
            <w:pPr>
              <w:spacing w:line="360" w:lineRule="auto"/>
              <w:jc w:val="center"/>
              <w:rPr>
                <w:rFonts w:hint="eastAsia" w:ascii="宋体" w:hAnsi="宋体" w:eastAsia="宋体"/>
                <w:kern w:val="2"/>
                <w:lang w:eastAsia="zh-CN" w:bidi="ar-SA"/>
              </w:rPr>
            </w:pPr>
          </w:p>
        </w:tc>
      </w:tr>
      <w:tr w14:paraId="44441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5990A32F">
            <w:pPr>
              <w:spacing w:line="360" w:lineRule="auto"/>
              <w:rPr>
                <w:rFonts w:hint="eastAsia" w:ascii="宋体" w:hAnsi="宋体" w:eastAsia="宋体"/>
                <w:kern w:val="2"/>
                <w:lang w:eastAsia="zh-CN" w:bidi="ar-SA"/>
              </w:rPr>
            </w:pPr>
          </w:p>
        </w:tc>
        <w:tc>
          <w:tcPr>
            <w:tcW w:w="1782" w:type="dxa"/>
            <w:vAlign w:val="center"/>
          </w:tcPr>
          <w:p w14:paraId="5089620D">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主处理器</w:t>
            </w:r>
          </w:p>
        </w:tc>
        <w:tc>
          <w:tcPr>
            <w:tcW w:w="4567" w:type="dxa"/>
            <w:vAlign w:val="center"/>
          </w:tcPr>
          <w:p w14:paraId="710EA776">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≥4×1.6GHz Cortex-A53</w:t>
            </w:r>
          </w:p>
        </w:tc>
        <w:tc>
          <w:tcPr>
            <w:tcW w:w="977" w:type="dxa"/>
            <w:vMerge w:val="continue"/>
            <w:vAlign w:val="center"/>
          </w:tcPr>
          <w:p w14:paraId="4F102EA3">
            <w:pPr>
              <w:spacing w:line="360" w:lineRule="auto"/>
              <w:jc w:val="center"/>
              <w:rPr>
                <w:rFonts w:hint="eastAsia" w:ascii="宋体" w:hAnsi="宋体" w:eastAsia="宋体"/>
                <w:kern w:val="2"/>
                <w:lang w:eastAsia="zh-CN" w:bidi="ar-SA"/>
              </w:rPr>
            </w:pPr>
          </w:p>
        </w:tc>
      </w:tr>
      <w:tr w14:paraId="7C1A4E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2469635C">
            <w:pPr>
              <w:spacing w:line="360" w:lineRule="auto"/>
              <w:rPr>
                <w:rFonts w:hint="eastAsia" w:ascii="宋体" w:hAnsi="宋体" w:eastAsia="宋体"/>
                <w:kern w:val="2"/>
                <w:lang w:eastAsia="zh-CN" w:bidi="ar-SA"/>
              </w:rPr>
            </w:pPr>
          </w:p>
        </w:tc>
        <w:tc>
          <w:tcPr>
            <w:tcW w:w="1782" w:type="dxa"/>
            <w:vAlign w:val="center"/>
          </w:tcPr>
          <w:p w14:paraId="23BD1D9C">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协处理器</w:t>
            </w:r>
          </w:p>
        </w:tc>
        <w:tc>
          <w:tcPr>
            <w:tcW w:w="4567" w:type="dxa"/>
            <w:vAlign w:val="center"/>
          </w:tcPr>
          <w:p w14:paraId="3AF16591">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≥800MHz Cortex-M7</w:t>
            </w:r>
          </w:p>
        </w:tc>
        <w:tc>
          <w:tcPr>
            <w:tcW w:w="977" w:type="dxa"/>
            <w:vMerge w:val="continue"/>
            <w:vAlign w:val="center"/>
          </w:tcPr>
          <w:p w14:paraId="3BFD9473">
            <w:pPr>
              <w:spacing w:line="360" w:lineRule="auto"/>
              <w:jc w:val="center"/>
              <w:rPr>
                <w:rFonts w:hint="eastAsia" w:ascii="宋体" w:hAnsi="宋体" w:eastAsia="宋体"/>
                <w:kern w:val="2"/>
                <w:lang w:eastAsia="zh-CN" w:bidi="ar-SA"/>
              </w:rPr>
            </w:pPr>
          </w:p>
        </w:tc>
      </w:tr>
      <w:tr w14:paraId="2D9C3B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5BCC8A91">
            <w:pPr>
              <w:spacing w:line="360" w:lineRule="auto"/>
              <w:rPr>
                <w:rFonts w:hint="eastAsia" w:ascii="宋体" w:hAnsi="宋体" w:eastAsia="宋体"/>
                <w:kern w:val="2"/>
                <w:lang w:eastAsia="zh-CN" w:bidi="ar-SA"/>
              </w:rPr>
            </w:pPr>
          </w:p>
        </w:tc>
        <w:tc>
          <w:tcPr>
            <w:tcW w:w="1782" w:type="dxa"/>
            <w:vAlign w:val="center"/>
          </w:tcPr>
          <w:p w14:paraId="0CEB3235">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机器学习视觉处理器</w:t>
            </w:r>
          </w:p>
        </w:tc>
        <w:tc>
          <w:tcPr>
            <w:tcW w:w="4567" w:type="dxa"/>
            <w:vAlign w:val="center"/>
          </w:tcPr>
          <w:p w14:paraId="5FDF6F20">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≥2.3TOPS NPU</w:t>
            </w:r>
          </w:p>
        </w:tc>
        <w:tc>
          <w:tcPr>
            <w:tcW w:w="977" w:type="dxa"/>
            <w:vMerge w:val="continue"/>
            <w:vAlign w:val="center"/>
          </w:tcPr>
          <w:p w14:paraId="6B937A1C">
            <w:pPr>
              <w:spacing w:line="360" w:lineRule="auto"/>
              <w:jc w:val="center"/>
              <w:rPr>
                <w:rFonts w:hint="eastAsia" w:ascii="宋体" w:hAnsi="宋体" w:eastAsia="宋体"/>
                <w:kern w:val="2"/>
                <w:lang w:eastAsia="zh-CN" w:bidi="ar-SA"/>
              </w:rPr>
            </w:pPr>
          </w:p>
        </w:tc>
      </w:tr>
      <w:tr w14:paraId="5B7242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43F88605">
            <w:pPr>
              <w:spacing w:line="360" w:lineRule="auto"/>
              <w:rPr>
                <w:rFonts w:hint="eastAsia" w:ascii="宋体" w:hAnsi="宋体" w:eastAsia="宋体"/>
                <w:kern w:val="2"/>
                <w:lang w:eastAsia="zh-CN" w:bidi="ar-SA"/>
              </w:rPr>
            </w:pPr>
          </w:p>
        </w:tc>
        <w:tc>
          <w:tcPr>
            <w:tcW w:w="1782" w:type="dxa"/>
            <w:vAlign w:val="center"/>
          </w:tcPr>
          <w:p w14:paraId="4C27EAA8">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光源</w:t>
            </w:r>
          </w:p>
        </w:tc>
        <w:tc>
          <w:tcPr>
            <w:tcW w:w="4567" w:type="dxa"/>
            <w:vAlign w:val="center"/>
          </w:tcPr>
          <w:p w14:paraId="04F1DEFD">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支持红白可选，≥32颗高亮LED</w:t>
            </w:r>
          </w:p>
        </w:tc>
        <w:tc>
          <w:tcPr>
            <w:tcW w:w="977" w:type="dxa"/>
            <w:vMerge w:val="continue"/>
            <w:vAlign w:val="center"/>
          </w:tcPr>
          <w:p w14:paraId="5E569965">
            <w:pPr>
              <w:spacing w:line="360" w:lineRule="auto"/>
              <w:jc w:val="center"/>
              <w:rPr>
                <w:rFonts w:hint="eastAsia" w:ascii="宋体" w:hAnsi="宋体" w:eastAsia="宋体"/>
                <w:kern w:val="2"/>
                <w:lang w:eastAsia="zh-CN" w:bidi="ar-SA"/>
              </w:rPr>
            </w:pPr>
          </w:p>
        </w:tc>
      </w:tr>
      <w:tr w14:paraId="5DF0E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14:paraId="2AE18C5B">
            <w:pPr>
              <w:spacing w:line="360" w:lineRule="auto"/>
              <w:rPr>
                <w:rFonts w:hint="eastAsia" w:ascii="宋体" w:hAnsi="宋体" w:eastAsia="宋体"/>
                <w:kern w:val="2"/>
                <w:lang w:eastAsia="zh-CN" w:bidi="ar-SA"/>
              </w:rPr>
            </w:pPr>
          </w:p>
        </w:tc>
        <w:tc>
          <w:tcPr>
            <w:tcW w:w="1782" w:type="dxa"/>
            <w:vAlign w:val="center"/>
          </w:tcPr>
          <w:p w14:paraId="622D40C4">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电力供应</w:t>
            </w:r>
          </w:p>
        </w:tc>
        <w:tc>
          <w:tcPr>
            <w:tcW w:w="4567" w:type="dxa"/>
            <w:vAlign w:val="center"/>
          </w:tcPr>
          <w:p w14:paraId="086E0C71">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支持24V DC ±10%</w:t>
            </w:r>
          </w:p>
        </w:tc>
        <w:tc>
          <w:tcPr>
            <w:tcW w:w="977" w:type="dxa"/>
            <w:vMerge w:val="continue"/>
            <w:vAlign w:val="center"/>
          </w:tcPr>
          <w:p w14:paraId="347D6187">
            <w:pPr>
              <w:spacing w:line="360" w:lineRule="auto"/>
              <w:jc w:val="center"/>
              <w:rPr>
                <w:rFonts w:hint="eastAsia" w:ascii="宋体" w:hAnsi="宋体" w:eastAsia="宋体"/>
                <w:kern w:val="2"/>
                <w:lang w:eastAsia="zh-CN" w:bidi="ar-SA"/>
              </w:rPr>
            </w:pPr>
          </w:p>
        </w:tc>
      </w:tr>
      <w:tr w14:paraId="0A0C4A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1354" w:type="dxa"/>
            <w:vMerge w:val="continue"/>
            <w:vAlign w:val="center"/>
          </w:tcPr>
          <w:p w14:paraId="37AC2C0C">
            <w:pPr>
              <w:spacing w:line="360" w:lineRule="auto"/>
              <w:rPr>
                <w:rFonts w:hint="eastAsia" w:ascii="宋体" w:hAnsi="宋体" w:eastAsia="宋体"/>
                <w:kern w:val="2"/>
                <w:lang w:eastAsia="zh-CN" w:bidi="ar-SA"/>
              </w:rPr>
            </w:pPr>
          </w:p>
        </w:tc>
        <w:tc>
          <w:tcPr>
            <w:tcW w:w="1782" w:type="dxa"/>
            <w:vAlign w:val="center"/>
          </w:tcPr>
          <w:p w14:paraId="4CE4124F">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电力消耗</w:t>
            </w:r>
          </w:p>
        </w:tc>
        <w:tc>
          <w:tcPr>
            <w:tcW w:w="4567" w:type="dxa"/>
            <w:vAlign w:val="center"/>
          </w:tcPr>
          <w:p w14:paraId="4665FF9E">
            <w:pPr>
              <w:spacing w:line="360" w:lineRule="auto"/>
              <w:jc w:val="center"/>
              <w:rPr>
                <w:rFonts w:hint="eastAsia" w:ascii="宋体" w:hAnsi="宋体" w:eastAsia="宋体"/>
                <w:kern w:val="2"/>
                <w:lang w:val="en-US" w:eastAsia="zh-CN" w:bidi="ar-SA"/>
              </w:rPr>
            </w:pPr>
            <w:r>
              <w:rPr>
                <w:rFonts w:hint="eastAsia" w:ascii="宋体" w:hAnsi="宋体" w:eastAsia="宋体"/>
                <w:kern w:val="2"/>
                <w:lang w:eastAsia="zh-CN" w:bidi="ar-SA"/>
              </w:rPr>
              <w:t>＜15W</w:t>
            </w:r>
          </w:p>
        </w:tc>
        <w:tc>
          <w:tcPr>
            <w:tcW w:w="977" w:type="dxa"/>
            <w:vMerge w:val="continue"/>
            <w:vAlign w:val="center"/>
          </w:tcPr>
          <w:p w14:paraId="1F91B030">
            <w:pPr>
              <w:spacing w:line="360" w:lineRule="auto"/>
              <w:jc w:val="center"/>
              <w:rPr>
                <w:rFonts w:hint="eastAsia" w:ascii="宋体" w:hAnsi="宋体" w:eastAsia="宋体"/>
                <w:kern w:val="2"/>
                <w:lang w:eastAsia="zh-CN" w:bidi="ar-SA"/>
              </w:rPr>
            </w:pPr>
          </w:p>
        </w:tc>
      </w:tr>
      <w:tr w14:paraId="1E359C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1354" w:type="dxa"/>
            <w:vMerge w:val="continue"/>
            <w:vAlign w:val="center"/>
          </w:tcPr>
          <w:p w14:paraId="19EA162C">
            <w:pPr>
              <w:spacing w:line="360" w:lineRule="auto"/>
              <w:rPr>
                <w:rFonts w:hint="eastAsia" w:ascii="宋体" w:hAnsi="宋体" w:eastAsia="宋体"/>
                <w:kern w:val="2"/>
                <w:lang w:eastAsia="zh-CN" w:bidi="ar-SA"/>
              </w:rPr>
            </w:pPr>
          </w:p>
        </w:tc>
        <w:tc>
          <w:tcPr>
            <w:tcW w:w="1782" w:type="dxa"/>
            <w:vAlign w:val="center"/>
          </w:tcPr>
          <w:p w14:paraId="7D4AFFED">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通讯方式</w:t>
            </w:r>
          </w:p>
        </w:tc>
        <w:tc>
          <w:tcPr>
            <w:tcW w:w="4567" w:type="dxa"/>
            <w:vAlign w:val="center"/>
          </w:tcPr>
          <w:p w14:paraId="74632237">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支持串口：USB, RS232C, RS485, no protocol, Modbus RTU</w:t>
            </w:r>
          </w:p>
          <w:p w14:paraId="166CDB48">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支持以太网：百兆、千兆以太网（可选），支持TCP/IP，Modbus TCP, EthernetIP，Proﬁnet，Melsec等协议</w:t>
            </w:r>
          </w:p>
        </w:tc>
        <w:tc>
          <w:tcPr>
            <w:tcW w:w="977" w:type="dxa"/>
            <w:vMerge w:val="continue"/>
            <w:vAlign w:val="center"/>
          </w:tcPr>
          <w:p w14:paraId="3A399654">
            <w:pPr>
              <w:spacing w:line="360" w:lineRule="auto"/>
              <w:jc w:val="center"/>
              <w:rPr>
                <w:rFonts w:hint="eastAsia" w:ascii="宋体" w:hAnsi="宋体" w:eastAsia="宋体"/>
                <w:kern w:val="2"/>
                <w:lang w:eastAsia="zh-CN" w:bidi="ar-SA"/>
              </w:rPr>
            </w:pPr>
          </w:p>
        </w:tc>
      </w:tr>
      <w:tr w14:paraId="7E9D2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1354" w:type="dxa"/>
            <w:vMerge w:val="continue"/>
            <w:vAlign w:val="center"/>
          </w:tcPr>
          <w:p w14:paraId="57EF1343">
            <w:pPr>
              <w:spacing w:line="360" w:lineRule="auto"/>
              <w:rPr>
                <w:rFonts w:hint="eastAsia" w:ascii="宋体" w:hAnsi="宋体" w:eastAsia="宋体"/>
                <w:kern w:val="2"/>
                <w:lang w:eastAsia="zh-CN" w:bidi="ar-SA"/>
              </w:rPr>
            </w:pPr>
          </w:p>
        </w:tc>
        <w:tc>
          <w:tcPr>
            <w:tcW w:w="1782" w:type="dxa"/>
            <w:vAlign w:val="center"/>
          </w:tcPr>
          <w:p w14:paraId="65D3C6DB">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识读码制</w:t>
            </w:r>
          </w:p>
        </w:tc>
        <w:tc>
          <w:tcPr>
            <w:tcW w:w="4567" w:type="dxa"/>
            <w:vAlign w:val="center"/>
          </w:tcPr>
          <w:p w14:paraId="08A0DAC4">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支持一维码：Code 128, Code 39, Code 93, Code 11, Interleaved 2 of 5, Codabar, GS1 DataBar, UPC, EAN. etc</w:t>
            </w:r>
          </w:p>
          <w:p w14:paraId="048C9451">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支持二维码：DataMatrix, QR code, MicroQR, Vericode, Maxicode, PDF417.etc</w:t>
            </w:r>
          </w:p>
        </w:tc>
        <w:tc>
          <w:tcPr>
            <w:tcW w:w="977" w:type="dxa"/>
            <w:vMerge w:val="continue"/>
            <w:vAlign w:val="center"/>
          </w:tcPr>
          <w:p w14:paraId="65A19B59">
            <w:pPr>
              <w:spacing w:line="360" w:lineRule="auto"/>
              <w:jc w:val="center"/>
              <w:rPr>
                <w:rFonts w:hint="eastAsia" w:ascii="宋体" w:hAnsi="宋体" w:eastAsia="宋体"/>
                <w:kern w:val="2"/>
                <w:lang w:eastAsia="zh-CN" w:bidi="ar-SA"/>
              </w:rPr>
            </w:pPr>
          </w:p>
        </w:tc>
      </w:tr>
      <w:tr w14:paraId="69425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1354" w:type="dxa"/>
            <w:vMerge w:val="continue"/>
            <w:vAlign w:val="center"/>
          </w:tcPr>
          <w:p w14:paraId="66C0600B">
            <w:pPr>
              <w:spacing w:line="360" w:lineRule="auto"/>
              <w:rPr>
                <w:rFonts w:hint="eastAsia" w:ascii="宋体" w:hAnsi="宋体" w:eastAsia="宋体"/>
                <w:kern w:val="2"/>
                <w:lang w:eastAsia="zh-CN" w:bidi="ar-SA"/>
              </w:rPr>
            </w:pPr>
          </w:p>
        </w:tc>
        <w:tc>
          <w:tcPr>
            <w:tcW w:w="1782" w:type="dxa"/>
            <w:vAlign w:val="center"/>
          </w:tcPr>
          <w:p w14:paraId="47DAE177">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外部输入</w:t>
            </w:r>
          </w:p>
        </w:tc>
        <w:tc>
          <w:tcPr>
            <w:tcW w:w="4567" w:type="dxa"/>
            <w:vAlign w:val="center"/>
          </w:tcPr>
          <w:p w14:paraId="5ECCE5E0">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支持2路光耦隔离输入，支持NPN，PNP接入方式</w:t>
            </w:r>
          </w:p>
        </w:tc>
        <w:tc>
          <w:tcPr>
            <w:tcW w:w="977" w:type="dxa"/>
            <w:vMerge w:val="continue"/>
            <w:vAlign w:val="center"/>
          </w:tcPr>
          <w:p w14:paraId="132FE4B3">
            <w:pPr>
              <w:spacing w:line="360" w:lineRule="auto"/>
              <w:jc w:val="center"/>
              <w:rPr>
                <w:rFonts w:hint="eastAsia" w:ascii="宋体" w:hAnsi="宋体" w:eastAsia="宋体"/>
                <w:kern w:val="2"/>
                <w:lang w:eastAsia="zh-CN" w:bidi="ar-SA"/>
              </w:rPr>
            </w:pPr>
          </w:p>
        </w:tc>
      </w:tr>
      <w:tr w14:paraId="506665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1354" w:type="dxa"/>
            <w:vMerge w:val="continue"/>
            <w:vAlign w:val="center"/>
          </w:tcPr>
          <w:p w14:paraId="13ED0052">
            <w:pPr>
              <w:spacing w:line="360" w:lineRule="auto"/>
              <w:rPr>
                <w:rFonts w:hint="eastAsia" w:ascii="宋体" w:hAnsi="宋体" w:eastAsia="宋体"/>
                <w:kern w:val="2"/>
                <w:lang w:eastAsia="zh-CN" w:bidi="ar-SA"/>
              </w:rPr>
            </w:pPr>
          </w:p>
        </w:tc>
        <w:tc>
          <w:tcPr>
            <w:tcW w:w="1782" w:type="dxa"/>
            <w:vAlign w:val="center"/>
          </w:tcPr>
          <w:p w14:paraId="712A78CD">
            <w:pPr>
              <w:spacing w:line="360" w:lineRule="auto"/>
              <w:jc w:val="center"/>
              <w:rPr>
                <w:rFonts w:hint="eastAsia" w:ascii="宋体" w:hAnsi="宋体" w:eastAsia="宋体"/>
                <w:kern w:val="2"/>
                <w:lang w:eastAsia="zh-CN" w:bidi="ar-SA"/>
              </w:rPr>
            </w:pPr>
            <w:r>
              <w:rPr>
                <w:rFonts w:hint="eastAsia" w:ascii="宋体" w:hAnsi="宋体" w:eastAsia="宋体"/>
                <w:kern w:val="2"/>
                <w:lang w:eastAsia="zh-CN" w:bidi="ar-SA"/>
              </w:rPr>
              <w:t>外部输出</w:t>
            </w:r>
          </w:p>
        </w:tc>
        <w:tc>
          <w:tcPr>
            <w:tcW w:w="4567" w:type="dxa"/>
            <w:vAlign w:val="center"/>
          </w:tcPr>
          <w:p w14:paraId="39FE2B1A">
            <w:pPr>
              <w:spacing w:line="360" w:lineRule="auto"/>
              <w:jc w:val="left"/>
              <w:rPr>
                <w:rFonts w:hint="eastAsia" w:ascii="宋体" w:hAnsi="宋体" w:eastAsia="宋体"/>
                <w:kern w:val="2"/>
                <w:lang w:eastAsia="zh-CN" w:bidi="ar-SA"/>
              </w:rPr>
            </w:pPr>
            <w:r>
              <w:rPr>
                <w:rFonts w:hint="eastAsia" w:ascii="宋体" w:hAnsi="宋体" w:eastAsia="宋体"/>
                <w:kern w:val="2"/>
                <w:lang w:eastAsia="zh-CN" w:bidi="ar-SA"/>
              </w:rPr>
              <w:t>支持3路光耦隔离输出，支持NPN，PNP，开关控制方式</w:t>
            </w:r>
          </w:p>
        </w:tc>
        <w:tc>
          <w:tcPr>
            <w:tcW w:w="977" w:type="dxa"/>
            <w:vMerge w:val="continue"/>
            <w:vAlign w:val="center"/>
          </w:tcPr>
          <w:p w14:paraId="5A863977">
            <w:pPr>
              <w:spacing w:line="360" w:lineRule="auto"/>
              <w:jc w:val="center"/>
              <w:rPr>
                <w:rFonts w:hint="eastAsia" w:ascii="宋体" w:hAnsi="宋体" w:eastAsia="宋体"/>
                <w:kern w:val="2"/>
                <w:lang w:eastAsia="zh-CN" w:bidi="ar-SA"/>
              </w:rPr>
            </w:pPr>
          </w:p>
        </w:tc>
      </w:tr>
      <w:tr w14:paraId="59BA7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1354" w:type="dxa"/>
            <w:vMerge w:val="continue"/>
            <w:vAlign w:val="center"/>
          </w:tcPr>
          <w:p w14:paraId="77275A62">
            <w:pPr>
              <w:spacing w:line="360" w:lineRule="auto"/>
              <w:rPr>
                <w:rFonts w:hint="eastAsia" w:ascii="宋体" w:hAnsi="宋体" w:eastAsia="宋体"/>
                <w:kern w:val="2"/>
                <w:lang w:eastAsia="zh-CN" w:bidi="ar-SA"/>
              </w:rPr>
            </w:pPr>
          </w:p>
        </w:tc>
        <w:tc>
          <w:tcPr>
            <w:tcW w:w="1782" w:type="dxa"/>
            <w:vAlign w:val="center"/>
          </w:tcPr>
          <w:p w14:paraId="30A7EEC8">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最小分辨率</w:t>
            </w:r>
          </w:p>
        </w:tc>
        <w:tc>
          <w:tcPr>
            <w:tcW w:w="4567" w:type="dxa"/>
            <w:vAlign w:val="center"/>
          </w:tcPr>
          <w:p w14:paraId="23F36956">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支持小于0.08mm</w:t>
            </w:r>
          </w:p>
        </w:tc>
        <w:tc>
          <w:tcPr>
            <w:tcW w:w="977" w:type="dxa"/>
            <w:vMerge w:val="continue"/>
            <w:vAlign w:val="center"/>
          </w:tcPr>
          <w:p w14:paraId="0DDA444F">
            <w:pPr>
              <w:spacing w:line="360" w:lineRule="auto"/>
              <w:jc w:val="center"/>
              <w:rPr>
                <w:rFonts w:hint="eastAsia" w:ascii="宋体" w:hAnsi="宋体" w:eastAsia="宋体"/>
                <w:kern w:val="2"/>
                <w:lang w:eastAsia="zh-CN" w:bidi="ar-SA"/>
              </w:rPr>
            </w:pPr>
          </w:p>
        </w:tc>
      </w:tr>
      <w:tr w14:paraId="412B6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354" w:type="dxa"/>
            <w:vMerge w:val="continue"/>
            <w:vAlign w:val="center"/>
          </w:tcPr>
          <w:p w14:paraId="11456C42">
            <w:pPr>
              <w:spacing w:line="360" w:lineRule="auto"/>
              <w:rPr>
                <w:rFonts w:hint="eastAsia" w:ascii="宋体" w:hAnsi="宋体" w:eastAsia="宋体"/>
                <w:kern w:val="2"/>
                <w:lang w:eastAsia="zh-CN" w:bidi="ar-SA"/>
              </w:rPr>
            </w:pPr>
          </w:p>
        </w:tc>
        <w:tc>
          <w:tcPr>
            <w:tcW w:w="1782" w:type="dxa"/>
            <w:vAlign w:val="center"/>
          </w:tcPr>
          <w:p w14:paraId="69ACC8DC">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视场角</w:t>
            </w:r>
          </w:p>
        </w:tc>
        <w:tc>
          <w:tcPr>
            <w:tcW w:w="4567" w:type="dxa"/>
            <w:vAlign w:val="center"/>
          </w:tcPr>
          <w:p w14:paraId="6761204C">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支持H：49.8°     V：32.3°</w:t>
            </w:r>
          </w:p>
        </w:tc>
        <w:tc>
          <w:tcPr>
            <w:tcW w:w="977" w:type="dxa"/>
            <w:vMerge w:val="continue"/>
            <w:vAlign w:val="center"/>
          </w:tcPr>
          <w:p w14:paraId="0E43D9DA">
            <w:pPr>
              <w:spacing w:line="360" w:lineRule="auto"/>
              <w:jc w:val="center"/>
              <w:rPr>
                <w:rFonts w:hint="eastAsia" w:ascii="宋体" w:hAnsi="宋体" w:eastAsia="宋体"/>
                <w:kern w:val="2"/>
                <w:lang w:eastAsia="zh-CN" w:bidi="ar-SA"/>
              </w:rPr>
            </w:pPr>
          </w:p>
        </w:tc>
      </w:tr>
      <w:tr w14:paraId="7C62C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354" w:type="dxa"/>
            <w:vMerge w:val="continue"/>
            <w:vAlign w:val="center"/>
          </w:tcPr>
          <w:p w14:paraId="10071F1A">
            <w:pPr>
              <w:spacing w:line="360" w:lineRule="auto"/>
              <w:rPr>
                <w:rFonts w:hint="eastAsia" w:ascii="宋体" w:hAnsi="宋体" w:eastAsia="宋体"/>
                <w:kern w:val="2"/>
                <w:lang w:eastAsia="zh-CN" w:bidi="ar-SA"/>
              </w:rPr>
            </w:pPr>
          </w:p>
        </w:tc>
        <w:tc>
          <w:tcPr>
            <w:tcW w:w="1782" w:type="dxa"/>
            <w:vAlign w:val="center"/>
          </w:tcPr>
          <w:p w14:paraId="22AC2C85">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温度范围</w:t>
            </w:r>
          </w:p>
        </w:tc>
        <w:tc>
          <w:tcPr>
            <w:tcW w:w="4567" w:type="dxa"/>
            <w:vAlign w:val="center"/>
          </w:tcPr>
          <w:p w14:paraId="61CD32FE">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支持-10℃~+50℃</w:t>
            </w:r>
          </w:p>
        </w:tc>
        <w:tc>
          <w:tcPr>
            <w:tcW w:w="977" w:type="dxa"/>
            <w:vMerge w:val="continue"/>
            <w:vAlign w:val="center"/>
          </w:tcPr>
          <w:p w14:paraId="48378E42">
            <w:pPr>
              <w:spacing w:line="360" w:lineRule="auto"/>
              <w:jc w:val="center"/>
              <w:rPr>
                <w:rFonts w:hint="eastAsia" w:ascii="宋体" w:hAnsi="宋体" w:eastAsia="宋体"/>
                <w:kern w:val="2"/>
                <w:lang w:eastAsia="zh-CN" w:bidi="ar-SA"/>
              </w:rPr>
            </w:pPr>
          </w:p>
        </w:tc>
      </w:tr>
      <w:tr w14:paraId="0D5DA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jc w:val="center"/>
        </w:trPr>
        <w:tc>
          <w:tcPr>
            <w:tcW w:w="1354" w:type="dxa"/>
            <w:vMerge w:val="continue"/>
            <w:vAlign w:val="center"/>
          </w:tcPr>
          <w:p w14:paraId="5E3B62F2">
            <w:pPr>
              <w:spacing w:line="360" w:lineRule="auto"/>
              <w:rPr>
                <w:rFonts w:hint="eastAsia" w:ascii="宋体" w:hAnsi="宋体" w:eastAsia="宋体"/>
                <w:kern w:val="2"/>
                <w:lang w:eastAsia="zh-CN" w:bidi="ar-SA"/>
              </w:rPr>
            </w:pPr>
          </w:p>
        </w:tc>
        <w:tc>
          <w:tcPr>
            <w:tcW w:w="1782" w:type="dxa"/>
            <w:vAlign w:val="center"/>
          </w:tcPr>
          <w:p w14:paraId="746F2481">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温度范围</w:t>
            </w:r>
          </w:p>
        </w:tc>
        <w:tc>
          <w:tcPr>
            <w:tcW w:w="4567" w:type="dxa"/>
            <w:vAlign w:val="center"/>
          </w:tcPr>
          <w:p w14:paraId="6CD14A69">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支持-20℃~＋70℃</w:t>
            </w:r>
          </w:p>
        </w:tc>
        <w:tc>
          <w:tcPr>
            <w:tcW w:w="977" w:type="dxa"/>
            <w:vMerge w:val="continue"/>
            <w:vAlign w:val="center"/>
          </w:tcPr>
          <w:p w14:paraId="23B93C17">
            <w:pPr>
              <w:spacing w:line="360" w:lineRule="auto"/>
              <w:jc w:val="center"/>
              <w:rPr>
                <w:rFonts w:hint="eastAsia" w:ascii="宋体" w:hAnsi="宋体" w:eastAsia="宋体"/>
                <w:kern w:val="2"/>
                <w:lang w:eastAsia="zh-CN" w:bidi="ar-SA"/>
              </w:rPr>
            </w:pPr>
          </w:p>
        </w:tc>
      </w:tr>
      <w:tr w14:paraId="39DB7A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354" w:type="dxa"/>
            <w:vMerge w:val="continue"/>
            <w:vAlign w:val="center"/>
          </w:tcPr>
          <w:p w14:paraId="7C6ED3A0">
            <w:pPr>
              <w:spacing w:line="360" w:lineRule="auto"/>
              <w:rPr>
                <w:rFonts w:hint="eastAsia" w:ascii="宋体" w:hAnsi="宋体" w:eastAsia="宋体"/>
                <w:kern w:val="2"/>
                <w:lang w:eastAsia="zh-CN" w:bidi="ar-SA"/>
              </w:rPr>
            </w:pPr>
          </w:p>
        </w:tc>
        <w:tc>
          <w:tcPr>
            <w:tcW w:w="1782" w:type="dxa"/>
            <w:vAlign w:val="center"/>
          </w:tcPr>
          <w:p w14:paraId="4AD49A4C">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湿度</w:t>
            </w:r>
          </w:p>
        </w:tc>
        <w:tc>
          <w:tcPr>
            <w:tcW w:w="4567" w:type="dxa"/>
            <w:vAlign w:val="center"/>
          </w:tcPr>
          <w:p w14:paraId="66406E53">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支持5%~95% 无凝结</w:t>
            </w:r>
          </w:p>
        </w:tc>
        <w:tc>
          <w:tcPr>
            <w:tcW w:w="977" w:type="dxa"/>
            <w:vMerge w:val="continue"/>
            <w:vAlign w:val="center"/>
          </w:tcPr>
          <w:p w14:paraId="1DFA6D5B">
            <w:pPr>
              <w:spacing w:line="360" w:lineRule="auto"/>
              <w:jc w:val="center"/>
              <w:rPr>
                <w:rFonts w:hint="eastAsia" w:ascii="宋体" w:hAnsi="宋体" w:eastAsia="宋体"/>
                <w:kern w:val="2"/>
                <w:lang w:eastAsia="zh-CN" w:bidi="ar-SA"/>
              </w:rPr>
            </w:pPr>
          </w:p>
        </w:tc>
      </w:tr>
      <w:tr w14:paraId="4BF6FA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1354" w:type="dxa"/>
            <w:vMerge w:val="continue"/>
            <w:vAlign w:val="center"/>
          </w:tcPr>
          <w:p w14:paraId="0F8452A3">
            <w:pPr>
              <w:spacing w:line="360" w:lineRule="auto"/>
              <w:rPr>
                <w:rFonts w:hint="eastAsia" w:ascii="宋体" w:hAnsi="宋体" w:eastAsia="宋体"/>
                <w:kern w:val="2"/>
                <w:lang w:eastAsia="zh-CN" w:bidi="ar-SA"/>
              </w:rPr>
            </w:pPr>
          </w:p>
        </w:tc>
        <w:tc>
          <w:tcPr>
            <w:tcW w:w="1782" w:type="dxa"/>
            <w:vAlign w:val="center"/>
          </w:tcPr>
          <w:p w14:paraId="00E43A08">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静电防护</w:t>
            </w:r>
          </w:p>
        </w:tc>
        <w:tc>
          <w:tcPr>
            <w:tcW w:w="4567" w:type="dxa"/>
            <w:vAlign w:val="center"/>
          </w:tcPr>
          <w:p w14:paraId="0A348BE5">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支持±8KV（接触放电）</w:t>
            </w:r>
          </w:p>
        </w:tc>
        <w:tc>
          <w:tcPr>
            <w:tcW w:w="977" w:type="dxa"/>
            <w:vMerge w:val="continue"/>
            <w:vAlign w:val="center"/>
          </w:tcPr>
          <w:p w14:paraId="62FAF234">
            <w:pPr>
              <w:spacing w:line="360" w:lineRule="auto"/>
              <w:jc w:val="center"/>
              <w:rPr>
                <w:rFonts w:hint="eastAsia" w:ascii="宋体" w:hAnsi="宋体" w:eastAsia="宋体"/>
                <w:kern w:val="2"/>
                <w:lang w:eastAsia="zh-CN" w:bidi="ar-SA"/>
              </w:rPr>
            </w:pPr>
          </w:p>
        </w:tc>
      </w:tr>
      <w:tr w14:paraId="383B9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jc w:val="center"/>
        </w:trPr>
        <w:tc>
          <w:tcPr>
            <w:tcW w:w="1354" w:type="dxa"/>
            <w:vMerge w:val="continue"/>
            <w:vAlign w:val="center"/>
          </w:tcPr>
          <w:p w14:paraId="7A4F9EA2">
            <w:pPr>
              <w:spacing w:line="360" w:lineRule="auto"/>
              <w:rPr>
                <w:rFonts w:hint="eastAsia" w:ascii="宋体" w:hAnsi="宋体" w:eastAsia="宋体"/>
                <w:kern w:val="2"/>
                <w:lang w:eastAsia="zh-CN" w:bidi="ar-SA"/>
              </w:rPr>
            </w:pPr>
          </w:p>
        </w:tc>
        <w:tc>
          <w:tcPr>
            <w:tcW w:w="1782" w:type="dxa"/>
            <w:vAlign w:val="center"/>
          </w:tcPr>
          <w:p w14:paraId="3F224CD4">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防护等级</w:t>
            </w:r>
          </w:p>
        </w:tc>
        <w:tc>
          <w:tcPr>
            <w:tcW w:w="4567" w:type="dxa"/>
            <w:vAlign w:val="center"/>
          </w:tcPr>
          <w:p w14:paraId="7147012D">
            <w:pPr>
              <w:spacing w:line="360" w:lineRule="auto"/>
              <w:jc w:val="center"/>
              <w:rPr>
                <w:rFonts w:hint="eastAsia" w:ascii="宋体" w:hAnsi="宋体" w:eastAsia="宋体"/>
                <w:kern w:val="2"/>
                <w:lang w:val="en-US" w:eastAsia="en-US" w:bidi="ar-SA"/>
              </w:rPr>
            </w:pPr>
            <w:r>
              <w:rPr>
                <w:rFonts w:hint="eastAsia" w:ascii="宋体" w:hAnsi="宋体" w:eastAsia="宋体"/>
                <w:kern w:val="2"/>
                <w:lang w:eastAsia="zh-CN" w:bidi="ar-SA"/>
              </w:rPr>
              <w:t>支持IP65以上防护</w:t>
            </w:r>
          </w:p>
        </w:tc>
        <w:tc>
          <w:tcPr>
            <w:tcW w:w="977" w:type="dxa"/>
            <w:vMerge w:val="continue"/>
            <w:vAlign w:val="center"/>
          </w:tcPr>
          <w:p w14:paraId="2BC37952">
            <w:pPr>
              <w:spacing w:line="360" w:lineRule="auto"/>
              <w:jc w:val="center"/>
              <w:rPr>
                <w:rFonts w:hint="eastAsia" w:ascii="宋体" w:hAnsi="宋体" w:eastAsia="宋体"/>
                <w:kern w:val="2"/>
                <w:lang w:eastAsia="zh-CN" w:bidi="ar-SA"/>
              </w:rPr>
            </w:pPr>
          </w:p>
        </w:tc>
      </w:tr>
    </w:tbl>
    <w:p w14:paraId="6EA510EC">
      <w:pPr>
        <w:spacing w:line="360" w:lineRule="auto"/>
        <w:rPr>
          <w:rFonts w:ascii="宋体" w:hAnsi="宋体" w:eastAsia="宋体"/>
          <w:b/>
          <w:bCs/>
          <w:lang w:eastAsia="zh-CN"/>
        </w:rPr>
      </w:pPr>
      <w:r>
        <w:rPr>
          <w:rFonts w:hint="eastAsia" w:ascii="宋体" w:hAnsi="宋体" w:eastAsia="宋体"/>
          <w:b/>
          <w:bCs/>
          <w:kern w:val="2"/>
          <w:lang w:eastAsia="zh-CN" w:bidi="ar-SA"/>
        </w:rPr>
        <w:t>四、商务要求</w:t>
      </w:r>
    </w:p>
    <w:p w14:paraId="4FFCC709">
      <w:pPr>
        <w:pStyle w:val="51"/>
        <w:ind w:firstLine="0" w:firstLineChars="0"/>
        <w:rPr>
          <w:rFonts w:ascii="宋体" w:hAnsi="宋体" w:eastAsia="宋体"/>
          <w:b/>
          <w:bCs/>
          <w:lang w:eastAsia="zh-CN"/>
        </w:rPr>
      </w:pPr>
      <w:r>
        <w:rPr>
          <w:rFonts w:hint="eastAsia" w:ascii="宋体" w:hAnsi="宋体" w:eastAsia="宋体"/>
          <w:b/>
          <w:bCs/>
          <w:lang w:eastAsia="zh-CN"/>
        </w:rPr>
        <w:t>1．供货要求：</w:t>
      </w:r>
    </w:p>
    <w:p w14:paraId="352277FC">
      <w:pPr>
        <w:spacing w:line="360" w:lineRule="auto"/>
        <w:rPr>
          <w:rFonts w:ascii="宋体" w:hAnsi="宋体" w:eastAsia="宋体"/>
          <w:lang w:eastAsia="zh-CN"/>
        </w:rPr>
      </w:pPr>
      <w:r>
        <w:rPr>
          <w:rFonts w:hint="eastAsia" w:ascii="宋体" w:hAnsi="宋体" w:eastAsia="宋体"/>
          <w:lang w:eastAsia="zh-CN"/>
        </w:rPr>
        <w:t>（1）投标人必须承诺提供生产厂商原装、全新的、符合国家及用户提出的有关质量标准的产品，并按招标文件要求附带相关的合法生产厂商证明文件。</w:t>
      </w:r>
    </w:p>
    <w:p w14:paraId="15720E5C">
      <w:pPr>
        <w:spacing w:line="360" w:lineRule="auto"/>
        <w:rPr>
          <w:rFonts w:ascii="宋体" w:hAnsi="宋体" w:eastAsia="宋体"/>
          <w:lang w:eastAsia="zh-CN"/>
        </w:rPr>
      </w:pPr>
      <w:r>
        <w:rPr>
          <w:rFonts w:hint="eastAsia" w:ascii="宋体" w:hAnsi="宋体" w:eastAsia="宋体"/>
          <w:lang w:eastAsia="zh-CN"/>
        </w:rPr>
        <w:t>（2）投标人必须承诺所提供产品符合国家或行业标准，以及用户提出的有关应用需求，且不存在第三方侵权行为。</w:t>
      </w:r>
    </w:p>
    <w:p w14:paraId="5BC1B9F5">
      <w:pPr>
        <w:pStyle w:val="15"/>
        <w:spacing w:line="360" w:lineRule="auto"/>
        <w:ind w:right="335"/>
        <w:jc w:val="both"/>
        <w:rPr>
          <w:rFonts w:ascii="Calibri" w:hAnsi="Calibri" w:eastAsia="宋体" w:cs="Times New Roman"/>
          <w:kern w:val="2"/>
          <w:szCs w:val="21"/>
          <w:lang w:eastAsia="zh-CN" w:bidi="ar-SA"/>
        </w:rPr>
      </w:pPr>
      <w:r>
        <w:rPr>
          <w:rFonts w:hint="eastAsia" w:ascii="宋体" w:hAnsi="宋体" w:eastAsia="宋体" w:cs="Times New Roman"/>
          <w:lang w:eastAsia="zh-CN"/>
        </w:rPr>
        <w:t>（</w:t>
      </w:r>
      <w:r>
        <w:rPr>
          <w:rFonts w:ascii="宋体" w:hAnsi="宋体" w:eastAsia="宋体" w:cs="Times New Roman"/>
          <w:lang w:eastAsia="zh-CN"/>
        </w:rPr>
        <w:t>3</w:t>
      </w:r>
      <w:r>
        <w:rPr>
          <w:rFonts w:hint="eastAsia" w:ascii="宋体" w:hAnsi="宋体" w:eastAsia="宋体" w:cs="Times New Roman"/>
          <w:lang w:eastAsia="zh-CN"/>
        </w:rPr>
        <w:t>）</w:t>
      </w:r>
      <w:r>
        <w:rPr>
          <w:rFonts w:ascii="Calibri" w:hAnsi="Calibri" w:eastAsia="宋体" w:cs="Times New Roman"/>
          <w:kern w:val="2"/>
          <w:szCs w:val="21"/>
          <w:lang w:eastAsia="zh-CN" w:bidi="ar-SA"/>
        </w:rPr>
        <w:t>投标人应</w:t>
      </w:r>
      <w:r>
        <w:rPr>
          <w:rFonts w:hint="eastAsia" w:ascii="Calibri" w:hAnsi="Calibri" w:eastAsia="宋体" w:cs="Times New Roman"/>
          <w:kern w:val="2"/>
          <w:szCs w:val="21"/>
          <w:lang w:eastAsia="zh-CN" w:bidi="ar-SA"/>
        </w:rPr>
        <w:t>具备本项目的建设服务能力，</w:t>
      </w:r>
      <w:r>
        <w:rPr>
          <w:rFonts w:ascii="Calibri" w:hAnsi="Calibri" w:eastAsia="宋体" w:cs="Times New Roman"/>
          <w:kern w:val="2"/>
          <w:szCs w:val="21"/>
          <w:lang w:eastAsia="zh-CN" w:bidi="ar-SA"/>
        </w:rPr>
        <w:t>投入具备相应资质、经验的技术服务团队和工程师</w:t>
      </w:r>
      <w:r>
        <w:rPr>
          <w:rFonts w:hint="eastAsia" w:ascii="Calibri" w:hAnsi="Calibri" w:eastAsia="宋体" w:cs="Times New Roman"/>
          <w:kern w:val="2"/>
          <w:szCs w:val="21"/>
          <w:lang w:eastAsia="zh-CN" w:bidi="ar-SA"/>
        </w:rPr>
        <w:t>，并按照医院要求完成相应的设备安装。</w:t>
      </w:r>
    </w:p>
    <w:p w14:paraId="37E4E4BC">
      <w:pPr>
        <w:pStyle w:val="51"/>
        <w:ind w:firstLine="0" w:firstLineChars="0"/>
        <w:rPr>
          <w:rFonts w:ascii="宋体" w:hAnsi="宋体" w:eastAsia="宋体"/>
          <w:b/>
          <w:bCs/>
          <w:lang w:eastAsia="zh-CN"/>
        </w:rPr>
      </w:pPr>
      <w:r>
        <w:rPr>
          <w:rFonts w:hint="eastAsia" w:ascii="宋体" w:hAnsi="宋体" w:eastAsia="宋体"/>
          <w:b/>
          <w:bCs/>
          <w:lang w:eastAsia="zh-CN"/>
        </w:rPr>
        <w:t>2</w:t>
      </w:r>
      <w:r>
        <w:rPr>
          <w:rFonts w:ascii="宋体" w:hAnsi="宋体" w:eastAsia="宋体"/>
          <w:b/>
          <w:bCs/>
          <w:lang w:eastAsia="zh-CN"/>
        </w:rPr>
        <w:t>.</w:t>
      </w:r>
      <w:r>
        <w:rPr>
          <w:rFonts w:hint="eastAsia" w:ascii="宋体" w:hAnsi="宋体" w:eastAsia="宋体"/>
          <w:b/>
          <w:bCs/>
          <w:lang w:eastAsia="zh-CN"/>
        </w:rPr>
        <w:t>付款方式：</w:t>
      </w:r>
    </w:p>
    <w:p w14:paraId="2852F920">
      <w:pPr>
        <w:spacing w:line="360" w:lineRule="auto"/>
        <w:rPr>
          <w:rFonts w:ascii="宋体" w:hAnsi="宋体" w:eastAsia="宋体"/>
          <w:lang w:eastAsia="zh-CN"/>
        </w:rPr>
      </w:pPr>
      <w:bookmarkStart w:id="7" w:name="_Hlk508984413"/>
      <w:r>
        <w:rPr>
          <w:rFonts w:hint="eastAsia" w:ascii="宋体" w:hAnsi="宋体" w:eastAsia="宋体"/>
          <w:lang w:eastAsia="zh-CN"/>
        </w:rPr>
        <w:t>（1）合同签订后，10个工作日内，凭投标人开具的有效发票，采购人方向投标人支付合同全款金额的</w:t>
      </w:r>
      <w:r>
        <w:rPr>
          <w:rFonts w:ascii="宋体" w:hAnsi="宋体" w:eastAsia="宋体"/>
          <w:lang w:eastAsia="zh-CN"/>
        </w:rPr>
        <w:t>50</w:t>
      </w:r>
      <w:r>
        <w:rPr>
          <w:rFonts w:hint="eastAsia" w:ascii="宋体" w:hAnsi="宋体" w:eastAsia="宋体"/>
          <w:lang w:eastAsia="zh-CN"/>
        </w:rPr>
        <w:t>%；</w:t>
      </w:r>
    </w:p>
    <w:bookmarkEnd w:id="7"/>
    <w:p w14:paraId="1E52BC89">
      <w:pPr>
        <w:spacing w:line="360" w:lineRule="auto"/>
        <w:rPr>
          <w:rFonts w:ascii="宋体" w:hAnsi="宋体" w:eastAsia="宋体"/>
          <w:lang w:eastAsia="zh-CN"/>
        </w:rPr>
      </w:pPr>
      <w:r>
        <w:rPr>
          <w:rFonts w:hint="eastAsia" w:ascii="宋体" w:hAnsi="宋体" w:eastAsia="宋体"/>
          <w:lang w:eastAsia="zh-CN"/>
        </w:rPr>
        <w:t>（2）安装完毕后经验收合格后10个工作日内，凭正式有效发票，采购人向投标人支付合同全款金额的</w:t>
      </w:r>
      <w:r>
        <w:rPr>
          <w:rFonts w:ascii="宋体" w:hAnsi="宋体" w:eastAsia="宋体"/>
          <w:lang w:eastAsia="zh-CN"/>
        </w:rPr>
        <w:t>50</w:t>
      </w:r>
      <w:r>
        <w:rPr>
          <w:rFonts w:hint="eastAsia" w:ascii="宋体" w:hAnsi="宋体" w:eastAsia="宋体"/>
          <w:lang w:eastAsia="zh-CN"/>
        </w:rPr>
        <w:t>%；</w:t>
      </w:r>
    </w:p>
    <w:p w14:paraId="6D3292BB">
      <w:pPr>
        <w:pStyle w:val="51"/>
        <w:ind w:firstLine="0" w:firstLineChars="0"/>
        <w:rPr>
          <w:rFonts w:ascii="宋体" w:hAnsi="宋体" w:eastAsia="宋体"/>
          <w:b/>
          <w:bCs/>
          <w:lang w:eastAsia="zh-CN"/>
        </w:rPr>
      </w:pPr>
      <w:r>
        <w:rPr>
          <w:rFonts w:ascii="宋体" w:hAnsi="宋体" w:eastAsia="宋体"/>
          <w:b/>
          <w:bCs/>
          <w:lang w:eastAsia="zh-CN"/>
        </w:rPr>
        <w:t>3</w:t>
      </w:r>
      <w:r>
        <w:rPr>
          <w:rFonts w:hint="eastAsia" w:ascii="宋体" w:hAnsi="宋体" w:eastAsia="宋体"/>
          <w:b/>
          <w:bCs/>
          <w:lang w:eastAsia="zh-CN"/>
        </w:rPr>
        <w:t>．工期要求：</w:t>
      </w:r>
    </w:p>
    <w:p w14:paraId="47D41FE7">
      <w:pPr>
        <w:spacing w:line="360" w:lineRule="auto"/>
        <w:ind w:firstLine="480" w:firstLineChars="200"/>
        <w:rPr>
          <w:rFonts w:ascii="宋体" w:hAnsi="宋体" w:eastAsia="宋体"/>
          <w:lang w:eastAsia="zh-CN"/>
        </w:rPr>
      </w:pPr>
      <w:r>
        <w:rPr>
          <w:rFonts w:hint="eastAsia" w:ascii="宋体" w:hAnsi="宋体" w:eastAsia="宋体"/>
          <w:lang w:eastAsia="zh-CN"/>
        </w:rPr>
        <w:t>合同签订之日起10个工作日内完成硬件设备的供货、安装与调试，并完成对使用单位相关人员的操作与使用培训。</w:t>
      </w:r>
    </w:p>
    <w:p w14:paraId="6B8F4729">
      <w:pPr>
        <w:pStyle w:val="51"/>
        <w:ind w:firstLine="0" w:firstLineChars="0"/>
        <w:rPr>
          <w:rFonts w:ascii="宋体" w:hAnsi="宋体" w:eastAsia="宋体"/>
          <w:b/>
          <w:bCs/>
          <w:lang w:eastAsia="zh-CN"/>
        </w:rPr>
      </w:pPr>
      <w:r>
        <w:rPr>
          <w:rFonts w:ascii="宋体" w:hAnsi="宋体" w:eastAsia="宋体"/>
          <w:b/>
          <w:bCs/>
          <w:lang w:eastAsia="zh-CN"/>
        </w:rPr>
        <w:t>4</w:t>
      </w:r>
      <w:r>
        <w:rPr>
          <w:rFonts w:hint="eastAsia" w:ascii="宋体" w:hAnsi="宋体" w:eastAsia="宋体"/>
          <w:b/>
          <w:bCs/>
          <w:lang w:eastAsia="zh-CN"/>
        </w:rPr>
        <w:t>．交货地点：</w:t>
      </w:r>
      <w:r>
        <w:rPr>
          <w:rFonts w:hint="eastAsia" w:ascii="宋体" w:hAnsi="宋体" w:eastAsia="宋体"/>
          <w:bCs/>
          <w:lang w:eastAsia="zh-CN"/>
        </w:rPr>
        <w:t>采购人指定地点。</w:t>
      </w:r>
    </w:p>
    <w:p w14:paraId="555454EC">
      <w:pPr>
        <w:pStyle w:val="51"/>
        <w:ind w:firstLine="0" w:firstLineChars="0"/>
        <w:rPr>
          <w:rFonts w:ascii="宋体" w:hAnsi="宋体" w:eastAsia="宋体"/>
          <w:b/>
          <w:bCs/>
          <w:lang w:eastAsia="zh-CN"/>
        </w:rPr>
      </w:pPr>
      <w:r>
        <w:rPr>
          <w:rFonts w:ascii="宋体" w:hAnsi="宋体" w:eastAsia="宋体"/>
          <w:b/>
          <w:bCs/>
          <w:lang w:eastAsia="zh-CN"/>
        </w:rPr>
        <w:t>5</w:t>
      </w:r>
      <w:r>
        <w:rPr>
          <w:rFonts w:hint="eastAsia" w:ascii="宋体" w:hAnsi="宋体" w:eastAsia="宋体"/>
          <w:b/>
          <w:bCs/>
          <w:lang w:eastAsia="zh-CN"/>
        </w:rPr>
        <w:t>．验收要求：</w:t>
      </w:r>
    </w:p>
    <w:p w14:paraId="0D2F350E">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（1）设备安装后试用60个工作日，采购人应组织验收工作。</w:t>
      </w:r>
    </w:p>
    <w:p w14:paraId="2D92D672">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（2）所有设备、器材在开箱时必须完好，无破损，配置与装箱单相符，数量、质量及性能不低于招标要求。</w:t>
      </w:r>
    </w:p>
    <w:p w14:paraId="1517F16D">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（3）拆箱后，中标供应商应对其全部产品、零件、配件、用户许可证书、资料、介质造册登记，登记册作为验收文档之一；</w:t>
      </w:r>
    </w:p>
    <w:p w14:paraId="0F055870">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（4）中标供应商应负责在项目验收时将系统的全部有关产品说明书、原厂家安装手册、技术文件、资料、及安装、验收报告等文档汇集成册交付设备使用单位和监理单位。</w:t>
      </w:r>
    </w:p>
    <w:p w14:paraId="703D4967">
      <w:pPr>
        <w:spacing w:line="360" w:lineRule="auto"/>
        <w:rPr>
          <w:rFonts w:ascii="宋体" w:hAnsi="宋体" w:eastAsia="宋体" w:cs="宋体"/>
          <w:color w:val="000000" w:themeColor="text1"/>
          <w:lang w:eastAsia="zh-CN"/>
          <w14:textFill>
            <w14:solidFill>
              <w14:schemeClr w14:val="tx1"/>
            </w14:solidFill>
          </w14:textFill>
        </w:rPr>
      </w:pPr>
      <w:r>
        <w:rPr>
          <w:rFonts w:ascii="宋体" w:hAnsi="宋体" w:eastAsia="宋体"/>
          <w:b/>
          <w:bCs/>
          <w:lang w:eastAsia="zh-CN"/>
        </w:rPr>
        <w:t>6</w:t>
      </w:r>
      <w:r>
        <w:rPr>
          <w:rFonts w:hint="eastAsia" w:ascii="宋体" w:hAnsi="宋体" w:eastAsia="宋体"/>
          <w:b/>
          <w:bCs/>
          <w:lang w:eastAsia="zh-CN"/>
        </w:rPr>
        <w:t>．响应时间：</w:t>
      </w:r>
      <w:r>
        <w:rPr>
          <w:rFonts w:hint="eastAsia" w:ascii="宋体" w:hAnsi="宋体" w:eastAsia="宋体" w:cs="宋体"/>
          <w:color w:val="000000" w:themeColor="text1"/>
          <w:lang w:eastAsia="zh-CN"/>
          <w14:textFill>
            <w14:solidFill>
              <w14:schemeClr w14:val="tx1"/>
            </w14:solidFill>
          </w14:textFill>
        </w:rPr>
        <w:t>提供7×24小时电话技术支持，软硬件设备故障报修的响应时间：30分钟，若电话中无法解决，</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小时内到达现场进行维护。除特殊情况外，故障排除时间不超过24小时。</w:t>
      </w:r>
    </w:p>
    <w:p w14:paraId="22B6A520">
      <w:pPr>
        <w:spacing w:line="360" w:lineRule="auto"/>
        <w:rPr>
          <w:rFonts w:ascii="宋体" w:hAnsi="宋体" w:eastAsia="宋体"/>
          <w:b/>
          <w:bCs/>
          <w:lang w:eastAsia="zh-CN"/>
        </w:rPr>
      </w:pPr>
      <w:r>
        <w:rPr>
          <w:rFonts w:ascii="宋体" w:hAnsi="宋体" w:eastAsia="宋体"/>
          <w:b/>
          <w:bCs/>
          <w:lang w:eastAsia="zh-CN"/>
        </w:rPr>
        <w:t>7</w:t>
      </w:r>
      <w:r>
        <w:rPr>
          <w:rFonts w:hint="eastAsia" w:ascii="宋体" w:hAnsi="宋体" w:eastAsia="宋体"/>
          <w:b/>
          <w:bCs/>
          <w:lang w:eastAsia="zh-CN"/>
        </w:rPr>
        <w:t>．售后服务要求：</w:t>
      </w:r>
    </w:p>
    <w:p w14:paraId="0EF92D17">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（1）免费维护期限：设备免费质保期为验收之日起3年。</w:t>
      </w:r>
    </w:p>
    <w:p w14:paraId="1B6B3E2D">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（2）免费维护期自双方代表在设备安装调试后的验收证明文件上签字之日起计算，保修费用已计入总价，并以书面形式承诺。成交人提供免费部件、人力。</w:t>
      </w:r>
    </w:p>
    <w:p w14:paraId="1537E7AB">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（3）维护期内，由供应商免费提供备品备件及服务，保修期后，供应商只收取配件费。无论何时，因货物质量缺陷造成采购方损失，供应商应予以赔偿。</w:t>
      </w:r>
    </w:p>
    <w:p w14:paraId="4D3DD7D6">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（4）维护期内，所有设备保修、保养、维修服务均为上门服务，由此产生的费用均不再收取。</w:t>
      </w:r>
    </w:p>
    <w:p w14:paraId="2FF48DF0">
      <w:pPr>
        <w:spacing w:line="360" w:lineRule="auto"/>
        <w:rPr>
          <w:rFonts w:ascii="宋体" w:hAnsi="宋体" w:eastAsia="宋体"/>
          <w:b/>
          <w:bCs/>
          <w:lang w:eastAsia="zh-CN"/>
        </w:rPr>
      </w:pPr>
      <w:r>
        <w:rPr>
          <w:rFonts w:ascii="宋体" w:hAnsi="宋体" w:eastAsia="宋体"/>
          <w:b/>
          <w:bCs/>
          <w:lang w:eastAsia="zh-CN"/>
        </w:rPr>
        <w:t>8</w:t>
      </w:r>
      <w:r>
        <w:rPr>
          <w:rFonts w:hint="eastAsia" w:ascii="宋体" w:hAnsi="宋体" w:eastAsia="宋体"/>
          <w:b/>
          <w:bCs/>
          <w:lang w:eastAsia="zh-CN"/>
        </w:rPr>
        <w:t>．培训要求：</w:t>
      </w:r>
    </w:p>
    <w:p w14:paraId="3BD2534C">
      <w:pPr>
        <w:spacing w:line="360" w:lineRule="auto"/>
        <w:rPr>
          <w:rFonts w:ascii="宋体" w:hAnsi="宋体" w:eastAsia="宋体" w:cs="宋体"/>
          <w:color w:val="000000" w:themeColor="text1"/>
          <w:lang w:eastAsia="zh-CN"/>
          <w14:textFill>
            <w14:solidFill>
              <w14:schemeClr w14:val="tx1"/>
            </w14:solidFill>
          </w14:textFill>
        </w:rPr>
      </w:pPr>
      <w:bookmarkStart w:id="8" w:name="_Hlk166599921"/>
      <w:r>
        <w:rPr>
          <w:rFonts w:hint="eastAsia" w:ascii="宋体" w:hAnsi="宋体" w:eastAsia="宋体" w:cs="宋体"/>
          <w:color w:val="000000" w:themeColor="text1"/>
          <w:lang w:eastAsia="zh-CN"/>
          <w14:textFill>
            <w14:solidFill>
              <w14:schemeClr w14:val="tx1"/>
            </w14:solidFill>
          </w14:textFill>
        </w:rPr>
        <w:t>（1）制定详细的培训方案，提供技术培训、操作培训和现场指导，完成对系统集成、开发技术及工具等在内的全部免费培训。培训方案要详细描述每次培训的具体内容、深度和时间安排。</w:t>
      </w:r>
    </w:p>
    <w:p w14:paraId="4BB48DEB">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（2）培训方式应包括技术讲课、操作示范、参观学习和其它必须的业务指导和技术咨询，确保培训人员对系统基本原理、技术特性、操作规范、运行规程、管理维护等方面获得全面了解和掌握。</w:t>
      </w:r>
    </w:p>
    <w:bookmarkEnd w:id="8"/>
    <w:p w14:paraId="06CB3B6B">
      <w:pPr>
        <w:pStyle w:val="15"/>
        <w:spacing w:line="360" w:lineRule="auto"/>
        <w:ind w:left="240" w:leftChars="100" w:right="335"/>
        <w:jc w:val="both"/>
        <w:rPr>
          <w:rFonts w:ascii="Calibri" w:hAnsi="Calibri" w:eastAsia="宋体" w:cs="Times New Roman"/>
          <w:kern w:val="2"/>
          <w:szCs w:val="21"/>
          <w:lang w:eastAsia="zh-CN" w:bidi="ar-SA"/>
        </w:rPr>
      </w:pPr>
    </w:p>
    <w:sectPr>
      <w:footerReference r:id="rId5" w:type="default"/>
      <w:pgSz w:w="11906" w:h="16838"/>
      <w:pgMar w:top="1440" w:right="1416"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docPartObj>
        <w:docPartGallery w:val="autotext"/>
      </w:docPartObj>
    </w:sdtPr>
    <w:sdtContent>
      <w:p w14:paraId="1143F39D">
        <w:pPr>
          <w:pStyle w:val="22"/>
          <w:jc w:val="center"/>
        </w:pPr>
      </w:p>
      <w:p w14:paraId="001FC00D">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r>
          <w:rPr>
            <w:rFonts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0C"/>
    <w:rsid w:val="00007824"/>
    <w:rsid w:val="00010824"/>
    <w:rsid w:val="000116DB"/>
    <w:rsid w:val="000214C8"/>
    <w:rsid w:val="00021831"/>
    <w:rsid w:val="0002275A"/>
    <w:rsid w:val="00023B85"/>
    <w:rsid w:val="00026F17"/>
    <w:rsid w:val="0003483C"/>
    <w:rsid w:val="00035CFA"/>
    <w:rsid w:val="00036026"/>
    <w:rsid w:val="00040507"/>
    <w:rsid w:val="00045AF7"/>
    <w:rsid w:val="000541E2"/>
    <w:rsid w:val="00055C46"/>
    <w:rsid w:val="000679D5"/>
    <w:rsid w:val="00083359"/>
    <w:rsid w:val="00092066"/>
    <w:rsid w:val="000922B6"/>
    <w:rsid w:val="00094285"/>
    <w:rsid w:val="000B3510"/>
    <w:rsid w:val="000B5D15"/>
    <w:rsid w:val="000B60AB"/>
    <w:rsid w:val="000B777C"/>
    <w:rsid w:val="000E4514"/>
    <w:rsid w:val="000E59E5"/>
    <w:rsid w:val="000F286D"/>
    <w:rsid w:val="000F3E64"/>
    <w:rsid w:val="000F600D"/>
    <w:rsid w:val="001018A9"/>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1D2"/>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433AC"/>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62E0"/>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D4AA7"/>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E1"/>
    <w:rsid w:val="004E2EF2"/>
    <w:rsid w:val="004F0ADD"/>
    <w:rsid w:val="004F2B13"/>
    <w:rsid w:val="004F5F94"/>
    <w:rsid w:val="0050102D"/>
    <w:rsid w:val="00502213"/>
    <w:rsid w:val="00504E25"/>
    <w:rsid w:val="00507332"/>
    <w:rsid w:val="0051283C"/>
    <w:rsid w:val="00521488"/>
    <w:rsid w:val="00523C0D"/>
    <w:rsid w:val="00530665"/>
    <w:rsid w:val="0054074B"/>
    <w:rsid w:val="00543FC9"/>
    <w:rsid w:val="005515CB"/>
    <w:rsid w:val="00551697"/>
    <w:rsid w:val="00561182"/>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34974"/>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1EC8"/>
    <w:rsid w:val="006F54C0"/>
    <w:rsid w:val="006F761E"/>
    <w:rsid w:val="00701EC2"/>
    <w:rsid w:val="007035C6"/>
    <w:rsid w:val="00711EB2"/>
    <w:rsid w:val="0073107B"/>
    <w:rsid w:val="0073335A"/>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26F6"/>
    <w:rsid w:val="007D4653"/>
    <w:rsid w:val="007E72F0"/>
    <w:rsid w:val="007E7FAE"/>
    <w:rsid w:val="007F2329"/>
    <w:rsid w:val="007F5A09"/>
    <w:rsid w:val="00800D35"/>
    <w:rsid w:val="008022FA"/>
    <w:rsid w:val="008036FF"/>
    <w:rsid w:val="0080558C"/>
    <w:rsid w:val="00806710"/>
    <w:rsid w:val="008231B9"/>
    <w:rsid w:val="00823EEE"/>
    <w:rsid w:val="008354AB"/>
    <w:rsid w:val="00835795"/>
    <w:rsid w:val="00837851"/>
    <w:rsid w:val="00841DAB"/>
    <w:rsid w:val="0084475E"/>
    <w:rsid w:val="00851EC5"/>
    <w:rsid w:val="00852607"/>
    <w:rsid w:val="008557A5"/>
    <w:rsid w:val="00861A4E"/>
    <w:rsid w:val="0086576A"/>
    <w:rsid w:val="008678CD"/>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59DC"/>
    <w:rsid w:val="009373FB"/>
    <w:rsid w:val="00937783"/>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B461E"/>
    <w:rsid w:val="009D1C81"/>
    <w:rsid w:val="009D1ECD"/>
    <w:rsid w:val="009E39F2"/>
    <w:rsid w:val="009F37A9"/>
    <w:rsid w:val="009F6014"/>
    <w:rsid w:val="00A02606"/>
    <w:rsid w:val="00A05678"/>
    <w:rsid w:val="00A10F13"/>
    <w:rsid w:val="00A12C92"/>
    <w:rsid w:val="00A171D6"/>
    <w:rsid w:val="00A31603"/>
    <w:rsid w:val="00A37FE0"/>
    <w:rsid w:val="00A4100A"/>
    <w:rsid w:val="00A41DF0"/>
    <w:rsid w:val="00A4797B"/>
    <w:rsid w:val="00A53D29"/>
    <w:rsid w:val="00A57246"/>
    <w:rsid w:val="00A655AA"/>
    <w:rsid w:val="00A67781"/>
    <w:rsid w:val="00A8255D"/>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A5FDD"/>
    <w:rsid w:val="00BA6A14"/>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4651C"/>
    <w:rsid w:val="00C647D8"/>
    <w:rsid w:val="00C65413"/>
    <w:rsid w:val="00C725D7"/>
    <w:rsid w:val="00C765D8"/>
    <w:rsid w:val="00C807FD"/>
    <w:rsid w:val="00C86F04"/>
    <w:rsid w:val="00C876D9"/>
    <w:rsid w:val="00C87FC1"/>
    <w:rsid w:val="00C96527"/>
    <w:rsid w:val="00CA1ED6"/>
    <w:rsid w:val="00CA33AE"/>
    <w:rsid w:val="00CA484E"/>
    <w:rsid w:val="00CB63CF"/>
    <w:rsid w:val="00CC1683"/>
    <w:rsid w:val="00CD4B78"/>
    <w:rsid w:val="00CD5A9E"/>
    <w:rsid w:val="00CD65F4"/>
    <w:rsid w:val="00CD688B"/>
    <w:rsid w:val="00CD779D"/>
    <w:rsid w:val="00CE18C1"/>
    <w:rsid w:val="00CE781B"/>
    <w:rsid w:val="00CF3780"/>
    <w:rsid w:val="00D00B52"/>
    <w:rsid w:val="00D15FBA"/>
    <w:rsid w:val="00D205BD"/>
    <w:rsid w:val="00D24E78"/>
    <w:rsid w:val="00D30956"/>
    <w:rsid w:val="00D32C3F"/>
    <w:rsid w:val="00D32D52"/>
    <w:rsid w:val="00D355F0"/>
    <w:rsid w:val="00D36694"/>
    <w:rsid w:val="00D3758C"/>
    <w:rsid w:val="00D37C20"/>
    <w:rsid w:val="00D4301A"/>
    <w:rsid w:val="00D47994"/>
    <w:rsid w:val="00D56ED4"/>
    <w:rsid w:val="00D57384"/>
    <w:rsid w:val="00D64F51"/>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30308"/>
    <w:rsid w:val="00E345DB"/>
    <w:rsid w:val="00E34801"/>
    <w:rsid w:val="00E3519C"/>
    <w:rsid w:val="00E40B87"/>
    <w:rsid w:val="00E43588"/>
    <w:rsid w:val="00E473E1"/>
    <w:rsid w:val="00E53599"/>
    <w:rsid w:val="00E57F26"/>
    <w:rsid w:val="00E62641"/>
    <w:rsid w:val="00E6574E"/>
    <w:rsid w:val="00E71350"/>
    <w:rsid w:val="00E7362A"/>
    <w:rsid w:val="00E74BC6"/>
    <w:rsid w:val="00E867F1"/>
    <w:rsid w:val="00E96075"/>
    <w:rsid w:val="00EA06DC"/>
    <w:rsid w:val="00EA604F"/>
    <w:rsid w:val="00EB3746"/>
    <w:rsid w:val="00EB53E1"/>
    <w:rsid w:val="00EC1ADD"/>
    <w:rsid w:val="00EC6014"/>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2246"/>
    <w:rsid w:val="00F5329A"/>
    <w:rsid w:val="00F53A01"/>
    <w:rsid w:val="00F55E86"/>
    <w:rsid w:val="00F64E24"/>
    <w:rsid w:val="00F7421E"/>
    <w:rsid w:val="00F756B1"/>
    <w:rsid w:val="00F77122"/>
    <w:rsid w:val="00F81568"/>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02D65210"/>
    <w:rsid w:val="1DAB2CD1"/>
    <w:rsid w:val="2AF679FB"/>
    <w:rsid w:val="39255B3A"/>
    <w:rsid w:val="3D685599"/>
    <w:rsid w:val="66E878B4"/>
    <w:rsid w:val="681F5AF1"/>
    <w:rsid w:val="686C45EE"/>
    <w:rsid w:val="6C1B6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qFormat/>
    <w:uiPriority w:val="99"/>
    <w:rPr>
      <w:rFonts w:ascii="宋体" w:eastAsia="宋体"/>
      <w:sz w:val="18"/>
      <w:szCs w:val="18"/>
    </w:rPr>
  </w:style>
  <w:style w:type="paragraph" w:styleId="14">
    <w:name w:val="annotation text"/>
    <w:basedOn w:val="1"/>
    <w:link w:val="64"/>
    <w:semiHidden/>
    <w:unhideWhenUsed/>
    <w:qFormat/>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eastAsia="宋体"/>
      <w:szCs w:val="21"/>
    </w:rPr>
  </w:style>
  <w:style w:type="paragraph" w:styleId="19">
    <w:name w:val="toc 8"/>
    <w:basedOn w:val="1"/>
    <w:next w:val="1"/>
    <w:unhideWhenUsed/>
    <w:qFormat/>
    <w:uiPriority w:val="39"/>
    <w:pPr>
      <w:ind w:left="2940" w:leftChars="1400"/>
    </w:pPr>
  </w:style>
  <w:style w:type="paragraph" w:styleId="20">
    <w:name w:val="Date"/>
    <w:basedOn w:val="1"/>
    <w:next w:val="1"/>
    <w:link w:val="84"/>
    <w:semiHidden/>
    <w:unhideWhenUsed/>
    <w:qFormat/>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qFormat/>
    <w:uiPriority w:val="99"/>
    <w:rPr>
      <w:b/>
      <w:bCs/>
    </w:rPr>
  </w:style>
  <w:style w:type="table" w:styleId="33">
    <w:name w:val="Table Grid"/>
    <w:basedOn w:val="3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4">
    <w:name w:val="Medium List 2 Accent 1"/>
    <w:basedOn w:val="32"/>
    <w:qFormat/>
    <w:uiPriority w:val="66"/>
    <w:rPr>
      <w:rFonts w:ascii="Cambria" w:hAnsi="Cambria" w:eastAsia="宋体"/>
      <w:color w:val="000000"/>
      <w:sz w:val="20"/>
      <w:szCs w:val="2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annotation reference"/>
    <w:basedOn w:val="35"/>
    <w:semiHidden/>
    <w:unhideWhenUsed/>
    <w:qFormat/>
    <w:uiPriority w:val="99"/>
    <w:rPr>
      <w:sz w:val="21"/>
      <w:szCs w:val="21"/>
    </w:rPr>
  </w:style>
  <w:style w:type="character" w:customStyle="1" w:styleId="40">
    <w:name w:val="页眉 字符"/>
    <w:basedOn w:val="35"/>
    <w:link w:val="23"/>
    <w:qFormat/>
    <w:uiPriority w:val="99"/>
    <w:rPr>
      <w:sz w:val="18"/>
      <w:szCs w:val="18"/>
    </w:rPr>
  </w:style>
  <w:style w:type="character" w:customStyle="1" w:styleId="41">
    <w:name w:val="页脚 字符"/>
    <w:basedOn w:val="35"/>
    <w:link w:val="22"/>
    <w:qFormat/>
    <w:uiPriority w:val="99"/>
    <w:rPr>
      <w:sz w:val="18"/>
      <w:szCs w:val="18"/>
    </w:rPr>
  </w:style>
  <w:style w:type="character" w:customStyle="1" w:styleId="42">
    <w:name w:val="标题 1 字符"/>
    <w:basedOn w:val="35"/>
    <w:link w:val="2"/>
    <w:qFormat/>
    <w:uiPriority w:val="9"/>
    <w:rPr>
      <w:rFonts w:asciiTheme="majorHAnsi" w:hAnsiTheme="majorHAnsi" w:eastAsiaTheme="majorEastAsia"/>
      <w:b/>
      <w:bCs/>
      <w:kern w:val="32"/>
      <w:sz w:val="32"/>
      <w:szCs w:val="32"/>
    </w:rPr>
  </w:style>
  <w:style w:type="character" w:customStyle="1" w:styleId="43">
    <w:name w:val="标题 2 字符"/>
    <w:basedOn w:val="35"/>
    <w:link w:val="3"/>
    <w:qFormat/>
    <w:uiPriority w:val="9"/>
    <w:rPr>
      <w:rFonts w:asciiTheme="majorHAnsi" w:hAnsiTheme="majorHAnsi" w:eastAsiaTheme="majorEastAsia" w:cstheme="majorBidi"/>
      <w:b/>
      <w:bCs/>
      <w:i/>
      <w:iCs/>
      <w:sz w:val="28"/>
      <w:szCs w:val="28"/>
    </w:rPr>
  </w:style>
  <w:style w:type="character" w:customStyle="1" w:styleId="44">
    <w:name w:val="标题 3 字符"/>
    <w:basedOn w:val="35"/>
    <w:link w:val="4"/>
    <w:qFormat/>
    <w:uiPriority w:val="9"/>
    <w:rPr>
      <w:rFonts w:asciiTheme="majorHAnsi" w:hAnsiTheme="majorHAnsi" w:eastAsiaTheme="majorEastAsia"/>
      <w:b/>
      <w:bCs/>
      <w:sz w:val="26"/>
      <w:szCs w:val="26"/>
    </w:rPr>
  </w:style>
  <w:style w:type="character" w:customStyle="1" w:styleId="45">
    <w:name w:val="标题 4 字符"/>
    <w:basedOn w:val="35"/>
    <w:link w:val="5"/>
    <w:qFormat/>
    <w:uiPriority w:val="9"/>
    <w:rPr>
      <w:rFonts w:cstheme="majorBidi"/>
      <w:b/>
      <w:bCs/>
      <w:sz w:val="28"/>
      <w:szCs w:val="28"/>
    </w:rPr>
  </w:style>
  <w:style w:type="character" w:customStyle="1" w:styleId="46">
    <w:name w:val="标题 5 字符"/>
    <w:basedOn w:val="35"/>
    <w:link w:val="6"/>
    <w:semiHidden/>
    <w:qFormat/>
    <w:uiPriority w:val="9"/>
    <w:rPr>
      <w:b/>
      <w:bCs/>
      <w:i/>
      <w:iCs/>
      <w:sz w:val="26"/>
      <w:szCs w:val="26"/>
    </w:rPr>
  </w:style>
  <w:style w:type="character" w:customStyle="1" w:styleId="47">
    <w:name w:val="标题 6 字符"/>
    <w:basedOn w:val="35"/>
    <w:link w:val="7"/>
    <w:semiHidden/>
    <w:qFormat/>
    <w:uiPriority w:val="9"/>
    <w:rPr>
      <w:rFonts w:cstheme="majorBidi"/>
      <w:b/>
      <w:bCs/>
    </w:rPr>
  </w:style>
  <w:style w:type="character" w:customStyle="1" w:styleId="48">
    <w:name w:val="标题 7 字符"/>
    <w:basedOn w:val="35"/>
    <w:link w:val="8"/>
    <w:semiHidden/>
    <w:qFormat/>
    <w:uiPriority w:val="9"/>
    <w:rPr>
      <w:sz w:val="24"/>
      <w:szCs w:val="24"/>
    </w:rPr>
  </w:style>
  <w:style w:type="character" w:customStyle="1" w:styleId="49">
    <w:name w:val="标题 8 字符"/>
    <w:basedOn w:val="35"/>
    <w:link w:val="9"/>
    <w:semiHidden/>
    <w:qFormat/>
    <w:uiPriority w:val="9"/>
    <w:rPr>
      <w:rFonts w:cstheme="majorBidi"/>
      <w:i/>
      <w:iCs/>
      <w:sz w:val="24"/>
      <w:szCs w:val="24"/>
    </w:rPr>
  </w:style>
  <w:style w:type="character" w:customStyle="1" w:styleId="50">
    <w:name w:val="标题 9 字符"/>
    <w:basedOn w:val="35"/>
    <w:link w:val="10"/>
    <w:semiHidden/>
    <w:qFormat/>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qFormat/>
    <w:uiPriority w:val="0"/>
    <w:rPr>
      <w:sz w:val="24"/>
      <w:szCs w:val="24"/>
    </w:rPr>
  </w:style>
  <w:style w:type="paragraph" w:customStyle="1" w:styleId="53">
    <w:name w:val="表格"/>
    <w:basedOn w:val="1"/>
    <w:link w:val="54"/>
    <w:qFormat/>
    <w:uiPriority w:val="0"/>
    <w:pPr>
      <w:spacing w:line="360" w:lineRule="auto"/>
    </w:pPr>
  </w:style>
  <w:style w:type="character" w:customStyle="1" w:styleId="54">
    <w:name w:val="表格 字符"/>
    <w:basedOn w:val="35"/>
    <w:link w:val="53"/>
    <w:qFormat/>
    <w:uiPriority w:val="0"/>
  </w:style>
  <w:style w:type="character" w:customStyle="1" w:styleId="55">
    <w:name w:val="纯文本 字符"/>
    <w:basedOn w:val="35"/>
    <w:link w:val="18"/>
    <w:qFormat/>
    <w:uiPriority w:val="0"/>
    <w:rPr>
      <w:rFonts w:ascii="宋体" w:hAnsi="Courier New" w:eastAsia="宋体" w:cs="Times New Roman"/>
      <w:szCs w:val="21"/>
    </w:rPr>
  </w:style>
  <w:style w:type="paragraph" w:customStyle="1" w:styleId="56">
    <w:name w:val="TOC Heading"/>
    <w:basedOn w:val="2"/>
    <w:next w:val="1"/>
    <w:unhideWhenUsed/>
    <w:qFormat/>
    <w:uiPriority w:val="39"/>
    <w:pPr>
      <w:outlineLvl w:val="9"/>
    </w:pPr>
    <w:rPr>
      <w:rFonts w:cstheme="majorBidi"/>
    </w:rPr>
  </w:style>
  <w:style w:type="character" w:customStyle="1" w:styleId="57">
    <w:name w:val="未处理的提及1"/>
    <w:basedOn w:val="35"/>
    <w:semiHidden/>
    <w:unhideWhenUsed/>
    <w:qFormat/>
    <w:uiPriority w:val="99"/>
    <w:rPr>
      <w:color w:val="808080"/>
      <w:shd w:val="clear" w:color="auto" w:fill="E6E6E6"/>
    </w:rPr>
  </w:style>
  <w:style w:type="table" w:customStyle="1" w:styleId="58">
    <w:name w:val="浅色列表 - 强调文字颜色 11"/>
    <w:basedOn w:val="32"/>
    <w:qFormat/>
    <w:uiPriority w:val="61"/>
    <w:rPr>
      <w:rFonts w:ascii="Calibri" w:hAnsi="Calibri" w:eastAsia="宋体"/>
      <w:sz w:val="20"/>
      <w:szCs w:val="20"/>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qFormat/>
    <w:uiPriority w:val="0"/>
  </w:style>
  <w:style w:type="character" w:customStyle="1" w:styleId="60">
    <w:name w:val="样式1 字符"/>
    <w:basedOn w:val="54"/>
    <w:link w:val="59"/>
    <w:qFormat/>
    <w:uiPriority w:val="0"/>
  </w:style>
  <w:style w:type="character" w:customStyle="1" w:styleId="61">
    <w:name w:val="批注框文本 字符"/>
    <w:basedOn w:val="35"/>
    <w:link w:val="21"/>
    <w:semiHidden/>
    <w:qFormat/>
    <w:uiPriority w:val="99"/>
    <w:rPr>
      <w:sz w:val="18"/>
      <w:szCs w:val="18"/>
    </w:rPr>
  </w:style>
  <w:style w:type="character" w:customStyle="1" w:styleId="62">
    <w:name w:val="未处理的提及2"/>
    <w:basedOn w:val="35"/>
    <w:semiHidden/>
    <w:unhideWhenUsed/>
    <w:qFormat/>
    <w:uiPriority w:val="99"/>
    <w:rPr>
      <w:color w:val="808080"/>
      <w:shd w:val="clear" w:color="auto" w:fill="E6E6E6"/>
    </w:rPr>
  </w:style>
  <w:style w:type="character" w:customStyle="1" w:styleId="63">
    <w:name w:val="文档结构图 字符"/>
    <w:basedOn w:val="35"/>
    <w:link w:val="13"/>
    <w:semiHidden/>
    <w:qFormat/>
    <w:uiPriority w:val="99"/>
    <w:rPr>
      <w:rFonts w:ascii="宋体" w:eastAsia="宋体"/>
      <w:sz w:val="18"/>
      <w:szCs w:val="18"/>
    </w:rPr>
  </w:style>
  <w:style w:type="character" w:customStyle="1" w:styleId="64">
    <w:name w:val="批注文字 字符"/>
    <w:basedOn w:val="35"/>
    <w:link w:val="14"/>
    <w:semiHidden/>
    <w:qFormat/>
    <w:uiPriority w:val="99"/>
  </w:style>
  <w:style w:type="character" w:customStyle="1" w:styleId="65">
    <w:name w:val="批注主题 字符"/>
    <w:basedOn w:val="64"/>
    <w:link w:val="31"/>
    <w:semiHidden/>
    <w:qFormat/>
    <w:uiPriority w:val="99"/>
    <w:rPr>
      <w:b/>
      <w:bCs/>
    </w:rPr>
  </w:style>
  <w:style w:type="character" w:customStyle="1" w:styleId="66">
    <w:name w:val="未处理的提及3"/>
    <w:basedOn w:val="35"/>
    <w:semiHidden/>
    <w:unhideWhenUsed/>
    <w:qFormat/>
    <w:uiPriority w:val="99"/>
    <w:rPr>
      <w:color w:val="605E5C"/>
      <w:shd w:val="clear" w:color="auto" w:fill="E1DFDD"/>
    </w:rPr>
  </w:style>
  <w:style w:type="character" w:customStyle="1" w:styleId="67">
    <w:name w:val="标题 字符"/>
    <w:basedOn w:val="35"/>
    <w:link w:val="30"/>
    <w:qFormat/>
    <w:uiPriority w:val="10"/>
    <w:rPr>
      <w:rFonts w:asciiTheme="majorHAnsi" w:hAnsiTheme="majorHAnsi" w:eastAsiaTheme="majorEastAsia" w:cstheme="majorBidi"/>
      <w:b/>
      <w:bCs/>
      <w:kern w:val="28"/>
      <w:sz w:val="32"/>
      <w:szCs w:val="32"/>
    </w:rPr>
  </w:style>
  <w:style w:type="character" w:customStyle="1" w:styleId="68">
    <w:name w:val="副标题 字符"/>
    <w:basedOn w:val="35"/>
    <w:link w:val="26"/>
    <w:qFormat/>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字符"/>
    <w:basedOn w:val="35"/>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字符"/>
    <w:basedOn w:val="35"/>
    <w:link w:val="73"/>
    <w:qFormat/>
    <w:uiPriority w:val="30"/>
    <w:rPr>
      <w:b/>
      <w:i/>
      <w:sz w:val="24"/>
    </w:rPr>
  </w:style>
  <w:style w:type="character" w:customStyle="1" w:styleId="7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Intense Emphasis"/>
    <w:basedOn w:val="35"/>
    <w:qFormat/>
    <w:uiPriority w:val="21"/>
    <w:rPr>
      <w:b/>
      <w:i/>
      <w:sz w:val="24"/>
      <w:szCs w:val="24"/>
      <w:u w:val="single"/>
    </w:rPr>
  </w:style>
  <w:style w:type="character" w:customStyle="1" w:styleId="77">
    <w:name w:val="Subtle Reference"/>
    <w:basedOn w:val="35"/>
    <w:qFormat/>
    <w:uiPriority w:val="31"/>
    <w:rPr>
      <w:sz w:val="24"/>
      <w:szCs w:val="24"/>
      <w:u w:val="single"/>
    </w:rPr>
  </w:style>
  <w:style w:type="character" w:customStyle="1" w:styleId="78">
    <w:name w:val="Intense Reference"/>
    <w:basedOn w:val="35"/>
    <w:qFormat/>
    <w:uiPriority w:val="32"/>
    <w:rPr>
      <w:b/>
      <w:sz w:val="24"/>
      <w:u w:val="single"/>
    </w:rPr>
  </w:style>
  <w:style w:type="character" w:customStyle="1" w:styleId="79">
    <w:name w:val="Book Title"/>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qFormat/>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字符"/>
    <w:basedOn w:val="35"/>
    <w:link w:val="15"/>
    <w:qFormat/>
    <w:uiPriority w:val="1"/>
    <w:rPr>
      <w:rFonts w:ascii="仿宋" w:hAnsi="仿宋" w:eastAsia="仿宋" w:cs="仿宋"/>
      <w:sz w:val="24"/>
      <w:szCs w:val="24"/>
    </w:rPr>
  </w:style>
  <w:style w:type="character" w:customStyle="1" w:styleId="84">
    <w:name w:val="日期 字符"/>
    <w:basedOn w:val="35"/>
    <w:link w:val="20"/>
    <w:semiHidden/>
    <w:qFormat/>
    <w:uiPriority w:val="99"/>
    <w:rPr>
      <w:sz w:val="24"/>
      <w:szCs w:val="24"/>
    </w:rPr>
  </w:style>
  <w:style w:type="character" w:customStyle="1" w:styleId="85">
    <w:name w:val="题注 字符"/>
    <w:link w:val="12"/>
    <w:qFormat/>
    <w:uiPriority w:val="0"/>
    <w:rPr>
      <w:rFonts w:ascii="Cambria" w:hAnsi="Cambria" w:eastAsia="黑体"/>
      <w:kern w:val="2"/>
      <w:sz w:val="20"/>
      <w:szCs w:val="20"/>
      <w:lang w:eastAsia="zh-CN" w:bidi="ar-SA"/>
    </w:rPr>
  </w:style>
  <w:style w:type="paragraph" w:customStyle="1" w:styleId="86">
    <w:name w:val="Table Text"/>
    <w:basedOn w:val="1"/>
    <w:semiHidden/>
    <w:qFormat/>
    <w:uiPriority w:val="0"/>
    <w:rPr>
      <w:rFonts w:ascii="微软雅黑 Light" w:hAnsi="微软雅黑 Light" w:eastAsia="微软雅黑 Light" w:cs="微软雅黑 Light"/>
      <w:sz w:val="20"/>
      <w:szCs w:val="20"/>
      <w:lang w:val="en-US" w:eastAsia="en-US" w:bidi="ar-SA"/>
    </w:rPr>
  </w:style>
  <w:style w:type="table" w:customStyle="1" w:styleId="8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36381859-AF13-456B-97AF-98BE76A28D4C}">
  <ds:schemaRefs/>
</ds:datastoreItem>
</file>

<file path=customXml/itemProps2.xml><?xml version="1.0" encoding="utf-8"?>
<ds:datastoreItem xmlns:ds="http://schemas.openxmlformats.org/officeDocument/2006/customXml" ds:itemID="{EA01CE9D-3011-4826-B27F-A5F82777E899}">
  <ds:schemaRefs/>
</ds:datastoreItem>
</file>

<file path=customXml/itemProps3.xml><?xml version="1.0" encoding="utf-8"?>
<ds:datastoreItem xmlns:ds="http://schemas.openxmlformats.org/officeDocument/2006/customXml" ds:itemID="{8E4B4731-0F7E-4635-8617-A34D762C922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1671</Words>
  <Characters>1962</Characters>
  <Lines>18</Lines>
  <Paragraphs>5</Paragraphs>
  <TotalTime>22</TotalTime>
  <ScaleCrop>false</ScaleCrop>
  <LinksUpToDate>false</LinksUpToDate>
  <CharactersWithSpaces>2007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2024-09-02T07:31:00Z</dcterms:created>
  <dc:creator>袁明勇</dc:creator>
  <cp:lastModifiedBy>微雨清晨g</cp:lastModifiedBy>
  <cp:lastPrinted>2025-06-16T08:21:00Z</cp:lastPrinted>
  <dcterms:modified xsi:type="dcterms:W3CDTF">2025-06-23T09:30:20Z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BCA208BF225E4ACFAE1BAC674875786B_13</vt:lpwstr>
  </property>
</Properties>
</file>